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6F2FF"/>
  <w:body>
    <w:p w:rsidR="00000000" w:rsidRDefault="00DB4FE6">
      <w:pPr>
        <w:spacing w:line="640" w:lineRule="atLeast"/>
        <w:jc w:val="center"/>
        <w:divId w:val="2030181892"/>
        <w:rPr>
          <w:rFonts w:ascii="ˎ̥" w:hAnsi="ˎ̥" w:cs="Helvetica"/>
          <w:color w:val="333333"/>
          <w:sz w:val="19"/>
          <w:szCs w:val="19"/>
          <w:lang/>
        </w:rPr>
      </w:pPr>
      <w:r>
        <w:rPr>
          <w:rFonts w:ascii="ˎ̥" w:hAnsi="ˎ̥" w:cs="Helvetica"/>
          <w:color w:val="333333"/>
          <w:spacing w:val="20"/>
          <w:sz w:val="44"/>
          <w:szCs w:val="44"/>
          <w:lang/>
        </w:rPr>
        <w:t>惠州市人民政府关于惠州市进一步</w:t>
      </w:r>
    </w:p>
    <w:p w:rsidR="00000000" w:rsidRDefault="00DB4FE6">
      <w:pPr>
        <w:spacing w:line="640" w:lineRule="atLeast"/>
        <w:jc w:val="center"/>
        <w:divId w:val="2030181892"/>
        <w:rPr>
          <w:rFonts w:ascii="ˎ̥" w:hAnsi="ˎ̥" w:cs="Helvetica"/>
          <w:color w:val="333333"/>
          <w:sz w:val="19"/>
          <w:szCs w:val="19"/>
          <w:lang/>
        </w:rPr>
      </w:pPr>
      <w:r>
        <w:rPr>
          <w:rFonts w:ascii="ˎ̥" w:hAnsi="ˎ̥" w:cs="Helvetica"/>
          <w:color w:val="333333"/>
          <w:spacing w:val="20"/>
          <w:sz w:val="44"/>
          <w:szCs w:val="44"/>
          <w:lang/>
        </w:rPr>
        <w:t>发展资本市场的实施意见</w:t>
      </w:r>
    </w:p>
    <w:p w:rsidR="00000000" w:rsidRDefault="00DB4FE6">
      <w:pPr>
        <w:spacing w:line="640" w:lineRule="atLeast"/>
        <w:jc w:val="center"/>
        <w:divId w:val="2030181892"/>
        <w:rPr>
          <w:rFonts w:ascii="ˎ̥" w:hAnsi="ˎ̥" w:cs="Helvetica"/>
          <w:color w:val="333333"/>
          <w:sz w:val="19"/>
          <w:szCs w:val="19"/>
          <w:lang/>
        </w:rPr>
      </w:pPr>
      <w:r>
        <w:rPr>
          <w:rFonts w:ascii="ˎ̥" w:hAnsi="ˎ̥" w:cs="Helvetica"/>
          <w:color w:val="333333"/>
          <w:sz w:val="19"/>
          <w:szCs w:val="19"/>
          <w:lang/>
        </w:rPr>
        <w:t> </w:t>
      </w:r>
    </w:p>
    <w:p w:rsidR="00000000" w:rsidRDefault="00DB4FE6">
      <w:pPr>
        <w:spacing w:line="600" w:lineRule="atLeast"/>
        <w:jc w:val="center"/>
        <w:divId w:val="2030181892"/>
        <w:rPr>
          <w:rFonts w:ascii="ˎ̥" w:hAnsi="ˎ̥" w:cs="Helvetica"/>
          <w:color w:val="333333"/>
          <w:sz w:val="19"/>
          <w:szCs w:val="19"/>
          <w:lang/>
        </w:rPr>
      </w:pPr>
      <w:r>
        <w:rPr>
          <w:rFonts w:ascii="ˎ̥" w:hAnsi="ˎ̥" w:cs="Helvetica"/>
          <w:color w:val="333333"/>
          <w:sz w:val="19"/>
          <w:szCs w:val="19"/>
          <w:lang/>
        </w:rPr>
        <w:t> </w:t>
      </w:r>
      <w:proofErr w:type="gramStart"/>
      <w:r>
        <w:rPr>
          <w:rFonts w:ascii="ˎ̥" w:hAnsi="ˎ̥" w:cs="Helvetica"/>
          <w:color w:val="333333"/>
          <w:sz w:val="32"/>
          <w:szCs w:val="32"/>
          <w:lang/>
        </w:rPr>
        <w:t>惠府〔</w:t>
      </w:r>
      <w:r>
        <w:rPr>
          <w:rFonts w:ascii="ˎ̥" w:hAnsi="ˎ̥" w:cs="Helvetica"/>
          <w:color w:val="333333"/>
          <w:sz w:val="32"/>
          <w:szCs w:val="32"/>
          <w:lang/>
        </w:rPr>
        <w:t>2017</w:t>
      </w:r>
      <w:r>
        <w:rPr>
          <w:rFonts w:ascii="ˎ̥" w:hAnsi="ˎ̥" w:cs="Helvetica"/>
          <w:color w:val="333333"/>
          <w:sz w:val="32"/>
          <w:szCs w:val="32"/>
          <w:lang/>
        </w:rPr>
        <w:t>〕</w:t>
      </w:r>
      <w:proofErr w:type="gramEnd"/>
      <w:r>
        <w:rPr>
          <w:rFonts w:ascii="ˎ̥" w:hAnsi="ˎ̥" w:cs="Helvetica"/>
          <w:color w:val="333333"/>
          <w:sz w:val="32"/>
          <w:szCs w:val="32"/>
          <w:lang/>
        </w:rPr>
        <w:t>188</w:t>
      </w:r>
      <w:r>
        <w:rPr>
          <w:rFonts w:ascii="ˎ̥" w:hAnsi="ˎ̥" w:cs="Helvetica"/>
          <w:color w:val="333333"/>
          <w:sz w:val="32"/>
          <w:szCs w:val="32"/>
          <w:lang/>
        </w:rPr>
        <w:t>号</w:t>
      </w:r>
    </w:p>
    <w:p w:rsidR="00000000" w:rsidRDefault="00DB4FE6">
      <w:pPr>
        <w:spacing w:line="600" w:lineRule="atLeast"/>
        <w:divId w:val="2030181892"/>
        <w:rPr>
          <w:rFonts w:ascii="ˎ̥" w:hAnsi="ˎ̥" w:cs="Helvetica"/>
          <w:color w:val="333333"/>
          <w:sz w:val="19"/>
          <w:szCs w:val="19"/>
          <w:lang/>
        </w:rPr>
      </w:pPr>
      <w:r>
        <w:rPr>
          <w:rFonts w:ascii="ˎ̥" w:hAnsi="ˎ̥" w:cs="Helvetica"/>
          <w:color w:val="333333"/>
          <w:sz w:val="19"/>
          <w:szCs w:val="19"/>
          <w:lang/>
        </w:rPr>
        <w:t> </w:t>
      </w:r>
    </w:p>
    <w:p w:rsidR="00000000" w:rsidRDefault="00DB4FE6">
      <w:pPr>
        <w:spacing w:line="600" w:lineRule="atLeast"/>
        <w:divId w:val="1831679118"/>
        <w:rPr>
          <w:rFonts w:ascii="ˎ̥" w:hAnsi="ˎ̥" w:cs="Helvetica"/>
          <w:color w:val="333333"/>
          <w:sz w:val="19"/>
          <w:szCs w:val="19"/>
          <w:lang/>
        </w:rPr>
      </w:pPr>
      <w:r>
        <w:rPr>
          <w:rFonts w:ascii="ˎ̥" w:hAnsi="ˎ̥" w:cs="Helvetica"/>
          <w:color w:val="333333"/>
          <w:sz w:val="32"/>
          <w:szCs w:val="32"/>
          <w:lang/>
        </w:rPr>
        <w:t>各县、区人民政府、市政府各部门、各直属机构：</w:t>
      </w:r>
    </w:p>
    <w:p w:rsidR="00000000" w:rsidRDefault="00DB4FE6">
      <w:pPr>
        <w:spacing w:line="600" w:lineRule="atLeast"/>
        <w:ind w:firstLine="656"/>
        <w:divId w:val="1276474893"/>
        <w:rPr>
          <w:rFonts w:ascii="ˎ̥" w:hAnsi="ˎ̥" w:cs="Helvetica"/>
          <w:color w:val="333333"/>
          <w:sz w:val="19"/>
          <w:szCs w:val="19"/>
          <w:lang/>
        </w:rPr>
      </w:pPr>
      <w:r>
        <w:rPr>
          <w:rFonts w:ascii="ˎ̥" w:hAnsi="ˎ̥" w:cs="Helvetica"/>
          <w:color w:val="333333"/>
          <w:sz w:val="32"/>
          <w:szCs w:val="32"/>
          <w:lang/>
        </w:rPr>
        <w:t>为进一步推动我市资本市场发展，扩大直接融资，优化产业结构，结合我市实际，现提出如下意见：</w:t>
      </w:r>
    </w:p>
    <w:p w:rsidR="00000000" w:rsidRDefault="00DB4FE6">
      <w:pPr>
        <w:spacing w:line="600" w:lineRule="atLeast"/>
        <w:ind w:firstLine="656"/>
        <w:divId w:val="100734093"/>
        <w:rPr>
          <w:rFonts w:ascii="ˎ̥" w:hAnsi="ˎ̥" w:cs="Helvetica"/>
          <w:color w:val="333333"/>
          <w:sz w:val="19"/>
          <w:szCs w:val="19"/>
          <w:lang/>
        </w:rPr>
      </w:pPr>
      <w:r>
        <w:rPr>
          <w:rFonts w:ascii="ˎ̥" w:hAnsi="ˎ̥" w:cs="Helvetica"/>
          <w:color w:val="333333"/>
          <w:sz w:val="32"/>
          <w:szCs w:val="32"/>
          <w:lang/>
        </w:rPr>
        <w:t>一、指导思想</w:t>
      </w:r>
    </w:p>
    <w:p w:rsidR="00000000" w:rsidRDefault="00DB4FE6">
      <w:pPr>
        <w:spacing w:line="600" w:lineRule="atLeast"/>
        <w:ind w:firstLine="656"/>
        <w:divId w:val="2077238928"/>
        <w:rPr>
          <w:rFonts w:ascii="ˎ̥" w:hAnsi="ˎ̥" w:cs="Helvetica"/>
          <w:color w:val="333333"/>
          <w:sz w:val="19"/>
          <w:szCs w:val="19"/>
          <w:lang/>
        </w:rPr>
      </w:pPr>
      <w:r>
        <w:rPr>
          <w:rFonts w:ascii="ˎ̥" w:hAnsi="ˎ̥" w:cs="Helvetica"/>
          <w:color w:val="333333"/>
          <w:sz w:val="32"/>
          <w:szCs w:val="32"/>
          <w:lang/>
        </w:rPr>
        <w:t>高举中国特色社会主义伟大旗帜，以马克思列宁主义、毛泽东思想、邓小平理论、</w:t>
      </w:r>
      <w:r>
        <w:rPr>
          <w:rFonts w:ascii="ˎ̥" w:hAnsi="ˎ̥" w:cs="Helvetica"/>
          <w:color w:val="333333"/>
          <w:sz w:val="32"/>
          <w:szCs w:val="32"/>
          <w:lang/>
        </w:rPr>
        <w:t>“</w:t>
      </w:r>
      <w:r>
        <w:rPr>
          <w:rFonts w:ascii="ˎ̥" w:hAnsi="ˎ̥" w:cs="Helvetica"/>
          <w:color w:val="333333"/>
          <w:sz w:val="32"/>
          <w:szCs w:val="32"/>
          <w:lang/>
        </w:rPr>
        <w:t>三个代表</w:t>
      </w:r>
      <w:r>
        <w:rPr>
          <w:rFonts w:ascii="ˎ̥" w:hAnsi="ˎ̥" w:cs="Helvetica"/>
          <w:color w:val="333333"/>
          <w:sz w:val="32"/>
          <w:szCs w:val="32"/>
          <w:lang/>
        </w:rPr>
        <w:t>”</w:t>
      </w:r>
      <w:r>
        <w:rPr>
          <w:rFonts w:ascii="ˎ̥" w:hAnsi="ˎ̥" w:cs="Helvetica"/>
          <w:color w:val="333333"/>
          <w:sz w:val="32"/>
          <w:szCs w:val="32"/>
          <w:lang/>
        </w:rPr>
        <w:t>重要思想、科学发展观、习近平新时代中国特色社会主义思想为指导，以</w:t>
      </w:r>
      <w:r>
        <w:rPr>
          <w:rFonts w:ascii="ˎ̥" w:hAnsi="ˎ̥" w:cs="Helvetica"/>
          <w:color w:val="333333"/>
          <w:sz w:val="32"/>
          <w:szCs w:val="32"/>
          <w:lang/>
        </w:rPr>
        <w:t>“</w:t>
      </w:r>
      <w:r>
        <w:rPr>
          <w:rFonts w:ascii="ˎ̥" w:hAnsi="ˎ̥" w:cs="Helvetica"/>
          <w:color w:val="333333"/>
          <w:sz w:val="32"/>
          <w:szCs w:val="32"/>
          <w:lang/>
        </w:rPr>
        <w:t>四个坚持、三个支</w:t>
      </w:r>
      <w:r>
        <w:rPr>
          <w:rFonts w:ascii="ˎ̥" w:hAnsi="ˎ̥" w:cs="Helvetica"/>
          <w:color w:val="333333"/>
          <w:sz w:val="32"/>
          <w:szCs w:val="32"/>
          <w:lang/>
        </w:rPr>
        <w:t>撑、两个走在前列</w:t>
      </w:r>
      <w:r>
        <w:rPr>
          <w:rFonts w:ascii="ˎ̥" w:hAnsi="ˎ̥" w:cs="Helvetica"/>
          <w:color w:val="333333"/>
          <w:sz w:val="32"/>
          <w:szCs w:val="32"/>
          <w:lang/>
        </w:rPr>
        <w:t>”</w:t>
      </w:r>
      <w:r>
        <w:rPr>
          <w:rFonts w:ascii="ˎ̥" w:hAnsi="ˎ̥" w:cs="Helvetica"/>
          <w:color w:val="333333"/>
          <w:sz w:val="32"/>
          <w:szCs w:val="32"/>
          <w:lang/>
        </w:rPr>
        <w:t>为统领，全面贯彻落实党的十九大和中央经济工作会议、全国金融工作会议精神，充分利用国家、省和市推进资本市场发展的新机遇，坚持政府引导、企业自愿、市场运作、政策扶持的原则，推动更多的本地企业多渠道、多形式利用资本市场直接融资。</w:t>
      </w:r>
    </w:p>
    <w:p w:rsidR="00000000" w:rsidRDefault="00DB4FE6">
      <w:pPr>
        <w:spacing w:line="600" w:lineRule="atLeast"/>
        <w:ind w:firstLine="656"/>
        <w:divId w:val="1860117766"/>
        <w:rPr>
          <w:rFonts w:ascii="ˎ̥" w:hAnsi="ˎ̥" w:cs="Helvetica"/>
          <w:color w:val="333333"/>
          <w:sz w:val="19"/>
          <w:szCs w:val="19"/>
          <w:lang/>
        </w:rPr>
      </w:pPr>
      <w:r>
        <w:rPr>
          <w:rFonts w:ascii="ˎ̥" w:hAnsi="ˎ̥" w:cs="Helvetica"/>
          <w:color w:val="333333"/>
          <w:sz w:val="32"/>
          <w:szCs w:val="32"/>
          <w:lang/>
        </w:rPr>
        <w:t>二、工作目标</w:t>
      </w:r>
    </w:p>
    <w:p w:rsidR="00000000" w:rsidRDefault="00DB4FE6">
      <w:pPr>
        <w:spacing w:line="600" w:lineRule="atLeast"/>
        <w:ind w:firstLine="656"/>
        <w:divId w:val="1892378456"/>
        <w:rPr>
          <w:rFonts w:ascii="ˎ̥" w:hAnsi="ˎ̥" w:cs="Helvetica"/>
          <w:color w:val="333333"/>
          <w:sz w:val="19"/>
          <w:szCs w:val="19"/>
          <w:lang/>
        </w:rPr>
      </w:pPr>
      <w:r>
        <w:rPr>
          <w:rFonts w:ascii="ˎ̥" w:hAnsi="ˎ̥" w:cs="Helvetica"/>
          <w:color w:val="333333"/>
          <w:sz w:val="32"/>
          <w:szCs w:val="32"/>
          <w:lang/>
        </w:rPr>
        <w:t>（一）实现上市倍增。按照</w:t>
      </w:r>
      <w:r>
        <w:rPr>
          <w:rFonts w:ascii="ˎ̥" w:hAnsi="ˎ̥" w:cs="Helvetica"/>
          <w:color w:val="333333"/>
          <w:sz w:val="32"/>
          <w:szCs w:val="32"/>
          <w:lang/>
        </w:rPr>
        <w:t>“</w:t>
      </w:r>
      <w:r>
        <w:rPr>
          <w:rFonts w:ascii="ˎ̥" w:hAnsi="ˎ̥" w:cs="Helvetica"/>
          <w:color w:val="333333"/>
          <w:sz w:val="32"/>
          <w:szCs w:val="32"/>
          <w:lang/>
        </w:rPr>
        <w:t>储备一批、培育一批、改制一批、上市一批</w:t>
      </w:r>
      <w:r>
        <w:rPr>
          <w:rFonts w:ascii="ˎ̥" w:hAnsi="ˎ̥" w:cs="Helvetica"/>
          <w:color w:val="333333"/>
          <w:sz w:val="32"/>
          <w:szCs w:val="32"/>
          <w:lang/>
        </w:rPr>
        <w:t>”</w:t>
      </w:r>
      <w:r>
        <w:rPr>
          <w:rFonts w:ascii="ˎ̥" w:hAnsi="ˎ̥" w:cs="Helvetica"/>
          <w:color w:val="333333"/>
          <w:sz w:val="32"/>
          <w:szCs w:val="32"/>
          <w:lang/>
        </w:rPr>
        <w:t>的发展方式，力争到</w:t>
      </w:r>
      <w:r>
        <w:rPr>
          <w:rFonts w:ascii="ˎ̥" w:hAnsi="ˎ̥" w:cs="Helvetica"/>
          <w:color w:val="333333"/>
          <w:sz w:val="32"/>
          <w:szCs w:val="32"/>
          <w:lang/>
        </w:rPr>
        <w:t>2020</w:t>
      </w:r>
      <w:r>
        <w:rPr>
          <w:rFonts w:ascii="ˎ̥" w:hAnsi="ˎ̥" w:cs="Helvetica"/>
          <w:color w:val="333333"/>
          <w:sz w:val="32"/>
          <w:szCs w:val="32"/>
          <w:lang/>
        </w:rPr>
        <w:t>年我市境内上市企业数量达</w:t>
      </w:r>
      <w:r>
        <w:rPr>
          <w:rFonts w:ascii="ˎ̥" w:hAnsi="ˎ̥" w:cs="Helvetica"/>
          <w:color w:val="333333"/>
          <w:sz w:val="32"/>
          <w:szCs w:val="32"/>
          <w:lang/>
        </w:rPr>
        <w:t>30</w:t>
      </w:r>
      <w:r>
        <w:rPr>
          <w:rFonts w:ascii="ˎ̥" w:hAnsi="ˎ̥" w:cs="Helvetica"/>
          <w:color w:val="333333"/>
          <w:sz w:val="32"/>
          <w:szCs w:val="32"/>
          <w:lang/>
        </w:rPr>
        <w:t>家左右；</w:t>
      </w:r>
      <w:r>
        <w:rPr>
          <w:rFonts w:ascii="ˎ̥" w:hAnsi="ˎ̥" w:cs="Helvetica"/>
          <w:color w:val="333333"/>
          <w:sz w:val="32"/>
          <w:szCs w:val="32"/>
          <w:lang/>
        </w:rPr>
        <w:t>“</w:t>
      </w:r>
      <w:r>
        <w:rPr>
          <w:rFonts w:ascii="ˎ̥" w:hAnsi="ˎ̥" w:cs="Helvetica"/>
          <w:color w:val="333333"/>
          <w:sz w:val="32"/>
          <w:szCs w:val="32"/>
          <w:lang/>
        </w:rPr>
        <w:t>新三板</w:t>
      </w:r>
      <w:r>
        <w:rPr>
          <w:rFonts w:ascii="ˎ̥" w:hAnsi="ˎ̥" w:cs="Helvetica"/>
          <w:color w:val="333333"/>
          <w:sz w:val="32"/>
          <w:szCs w:val="32"/>
          <w:lang/>
        </w:rPr>
        <w:t>”</w:t>
      </w:r>
      <w:r>
        <w:rPr>
          <w:rFonts w:ascii="ˎ̥" w:hAnsi="ˎ̥" w:cs="Helvetica"/>
          <w:color w:val="333333"/>
          <w:sz w:val="32"/>
          <w:szCs w:val="32"/>
          <w:lang/>
        </w:rPr>
        <w:t>挂牌企业</w:t>
      </w:r>
      <w:r>
        <w:rPr>
          <w:rFonts w:ascii="ˎ̥" w:hAnsi="ˎ̥" w:cs="Helvetica"/>
          <w:color w:val="333333"/>
          <w:sz w:val="32"/>
          <w:szCs w:val="32"/>
          <w:lang/>
        </w:rPr>
        <w:t>80</w:t>
      </w:r>
      <w:r>
        <w:rPr>
          <w:rFonts w:ascii="ˎ̥" w:hAnsi="ˎ̥" w:cs="Helvetica"/>
          <w:color w:val="333333"/>
          <w:sz w:val="32"/>
          <w:szCs w:val="32"/>
          <w:lang/>
        </w:rPr>
        <w:t>家左右；上市企业总市值、在惠产值均比</w:t>
      </w:r>
      <w:r>
        <w:rPr>
          <w:rFonts w:ascii="ˎ̥" w:hAnsi="ˎ̥" w:cs="Helvetica"/>
          <w:color w:val="333333"/>
          <w:sz w:val="32"/>
          <w:szCs w:val="32"/>
          <w:lang/>
        </w:rPr>
        <w:t>2016</w:t>
      </w:r>
      <w:r>
        <w:rPr>
          <w:rFonts w:ascii="ˎ̥" w:hAnsi="ˎ̥" w:cs="Helvetica"/>
          <w:color w:val="333333"/>
          <w:sz w:val="32"/>
          <w:szCs w:val="32"/>
          <w:lang/>
        </w:rPr>
        <w:t>年翻番。</w:t>
      </w:r>
    </w:p>
    <w:p w:rsidR="00000000" w:rsidRDefault="00DB4FE6">
      <w:pPr>
        <w:spacing w:line="600" w:lineRule="atLeast"/>
        <w:ind w:firstLine="656"/>
        <w:divId w:val="967394855"/>
        <w:rPr>
          <w:rFonts w:ascii="ˎ̥" w:hAnsi="ˎ̥" w:cs="Helvetica"/>
          <w:color w:val="333333"/>
          <w:sz w:val="19"/>
          <w:szCs w:val="19"/>
          <w:lang/>
        </w:rPr>
      </w:pPr>
      <w:r>
        <w:rPr>
          <w:rFonts w:ascii="ˎ̥" w:hAnsi="ˎ̥" w:cs="Helvetica"/>
          <w:color w:val="333333"/>
          <w:sz w:val="32"/>
          <w:szCs w:val="32"/>
          <w:lang/>
        </w:rPr>
        <w:t>（二）实现股权基金双增。</w:t>
      </w:r>
      <w:r>
        <w:rPr>
          <w:rFonts w:ascii="ˎ̥" w:hAnsi="ˎ̥" w:cs="Helvetica"/>
          <w:color w:val="333333"/>
          <w:sz w:val="32"/>
          <w:szCs w:val="32"/>
          <w:lang/>
        </w:rPr>
        <w:t>加大市、县两级政府出资力度，做大</w:t>
      </w:r>
      <w:proofErr w:type="gramStart"/>
      <w:r>
        <w:rPr>
          <w:rFonts w:ascii="ˎ̥" w:hAnsi="ˎ̥" w:cs="Helvetica"/>
          <w:color w:val="333333"/>
          <w:sz w:val="32"/>
          <w:szCs w:val="32"/>
          <w:lang/>
        </w:rPr>
        <w:t>做强各类</w:t>
      </w:r>
      <w:proofErr w:type="gramEnd"/>
      <w:r>
        <w:rPr>
          <w:rFonts w:ascii="ˎ̥" w:hAnsi="ˎ̥" w:cs="Helvetica"/>
          <w:color w:val="333333"/>
          <w:sz w:val="32"/>
          <w:szCs w:val="32"/>
          <w:lang/>
        </w:rPr>
        <w:t>基金，到</w:t>
      </w:r>
      <w:r>
        <w:rPr>
          <w:rFonts w:ascii="ˎ̥" w:hAnsi="ˎ̥" w:cs="Helvetica"/>
          <w:color w:val="333333"/>
          <w:sz w:val="32"/>
          <w:szCs w:val="32"/>
          <w:lang/>
        </w:rPr>
        <w:t>2020</w:t>
      </w:r>
      <w:r>
        <w:rPr>
          <w:rFonts w:ascii="ˎ̥" w:hAnsi="ˎ̥" w:cs="Helvetica"/>
          <w:color w:val="333333"/>
          <w:sz w:val="32"/>
          <w:szCs w:val="32"/>
          <w:lang/>
        </w:rPr>
        <w:t>年我市各类股权、创</w:t>
      </w:r>
      <w:proofErr w:type="gramStart"/>
      <w:r>
        <w:rPr>
          <w:rFonts w:ascii="ˎ̥" w:hAnsi="ˎ̥" w:cs="Helvetica"/>
          <w:color w:val="333333"/>
          <w:sz w:val="32"/>
          <w:szCs w:val="32"/>
          <w:lang/>
        </w:rPr>
        <w:t>投基金</w:t>
      </w:r>
      <w:proofErr w:type="gramEnd"/>
      <w:r>
        <w:rPr>
          <w:rFonts w:ascii="ˎ̥" w:hAnsi="ˎ̥" w:cs="Helvetica"/>
          <w:color w:val="333333"/>
          <w:sz w:val="32"/>
          <w:szCs w:val="32"/>
          <w:lang/>
        </w:rPr>
        <w:t>50</w:t>
      </w:r>
      <w:r>
        <w:rPr>
          <w:rFonts w:ascii="ˎ̥" w:hAnsi="ˎ̥" w:cs="Helvetica"/>
          <w:color w:val="333333"/>
          <w:sz w:val="32"/>
          <w:szCs w:val="32"/>
          <w:lang/>
        </w:rPr>
        <w:t>家，总资金规模达</w:t>
      </w:r>
      <w:r>
        <w:rPr>
          <w:rFonts w:ascii="ˎ̥" w:hAnsi="ˎ̥" w:cs="Helvetica"/>
          <w:color w:val="333333"/>
          <w:sz w:val="32"/>
          <w:szCs w:val="32"/>
          <w:lang/>
        </w:rPr>
        <w:t>100</w:t>
      </w:r>
      <w:r>
        <w:rPr>
          <w:rFonts w:ascii="ˎ̥" w:hAnsi="ˎ̥" w:cs="Helvetica"/>
          <w:color w:val="333333"/>
          <w:sz w:val="32"/>
          <w:szCs w:val="32"/>
          <w:lang/>
        </w:rPr>
        <w:t>亿元人民币。</w:t>
      </w:r>
    </w:p>
    <w:p w:rsidR="00000000" w:rsidRDefault="00DB4FE6">
      <w:pPr>
        <w:spacing w:line="600" w:lineRule="atLeast"/>
        <w:ind w:firstLine="656"/>
        <w:divId w:val="1903709049"/>
        <w:rPr>
          <w:rFonts w:ascii="ˎ̥" w:hAnsi="ˎ̥" w:cs="Helvetica"/>
          <w:color w:val="333333"/>
          <w:sz w:val="19"/>
          <w:szCs w:val="19"/>
          <w:lang/>
        </w:rPr>
      </w:pPr>
      <w:r>
        <w:rPr>
          <w:rFonts w:ascii="ˎ̥" w:hAnsi="ˎ̥" w:cs="Helvetica"/>
          <w:color w:val="333333"/>
          <w:sz w:val="32"/>
          <w:szCs w:val="32"/>
          <w:lang/>
        </w:rPr>
        <w:t>（三）建立上市企业后备库和辅导库。为培育我市企业上市后备资源，从各县、区中筛选一批经营状况良好、有发展前景、上市意愿强的成长性企业入库培育。其中，</w:t>
      </w:r>
      <w:r>
        <w:rPr>
          <w:rFonts w:ascii="ˎ̥" w:hAnsi="ˎ̥" w:cs="Helvetica"/>
          <w:color w:val="333333"/>
          <w:sz w:val="32"/>
          <w:szCs w:val="32"/>
          <w:lang/>
        </w:rPr>
        <w:t>100</w:t>
      </w:r>
      <w:r>
        <w:rPr>
          <w:rFonts w:ascii="ˎ̥" w:hAnsi="ˎ̥" w:cs="Helvetica"/>
          <w:color w:val="333333"/>
          <w:sz w:val="32"/>
          <w:szCs w:val="32"/>
          <w:lang/>
        </w:rPr>
        <w:t>家进入上市企业培育库，已</w:t>
      </w:r>
      <w:proofErr w:type="gramStart"/>
      <w:r>
        <w:rPr>
          <w:rFonts w:ascii="ˎ̥" w:hAnsi="ˎ̥" w:cs="Helvetica"/>
          <w:color w:val="333333"/>
          <w:sz w:val="32"/>
          <w:szCs w:val="32"/>
          <w:lang/>
        </w:rPr>
        <w:t>完成股改正</w:t>
      </w:r>
      <w:proofErr w:type="gramEnd"/>
      <w:r>
        <w:rPr>
          <w:rFonts w:ascii="ˎ̥" w:hAnsi="ˎ̥" w:cs="Helvetica"/>
          <w:color w:val="333333"/>
          <w:sz w:val="32"/>
          <w:szCs w:val="32"/>
          <w:lang/>
        </w:rPr>
        <w:t>在筹备上市的</w:t>
      </w:r>
      <w:r>
        <w:rPr>
          <w:rFonts w:ascii="ˎ̥" w:hAnsi="ˎ̥" w:cs="Helvetica"/>
          <w:color w:val="333333"/>
          <w:sz w:val="32"/>
          <w:szCs w:val="32"/>
          <w:lang/>
        </w:rPr>
        <w:t>50</w:t>
      </w:r>
      <w:r>
        <w:rPr>
          <w:rFonts w:ascii="ˎ̥" w:hAnsi="ˎ̥" w:cs="Helvetica"/>
          <w:color w:val="333333"/>
          <w:sz w:val="32"/>
          <w:szCs w:val="32"/>
          <w:lang/>
        </w:rPr>
        <w:t>家企业进入上市企业辅导库。</w:t>
      </w:r>
    </w:p>
    <w:p w:rsidR="00000000" w:rsidRDefault="00DB4FE6">
      <w:pPr>
        <w:spacing w:line="600" w:lineRule="atLeast"/>
        <w:ind w:firstLine="656"/>
        <w:divId w:val="210003262"/>
        <w:rPr>
          <w:rFonts w:ascii="ˎ̥" w:hAnsi="ˎ̥" w:cs="Helvetica"/>
          <w:color w:val="333333"/>
          <w:sz w:val="19"/>
          <w:szCs w:val="19"/>
          <w:lang/>
        </w:rPr>
      </w:pPr>
      <w:r>
        <w:rPr>
          <w:rFonts w:ascii="ˎ̥" w:hAnsi="ˎ̥" w:cs="Helvetica"/>
          <w:color w:val="333333"/>
          <w:sz w:val="32"/>
          <w:szCs w:val="32"/>
          <w:lang/>
        </w:rPr>
        <w:t>（四）全面拓宽直接融资渠道。大力推动我市企业与上海证券交易所、深圳证券交易所、全国中小企业股份转让系统、区域场外资本交易市场合作对接，拓宽中小</w:t>
      </w:r>
      <w:proofErr w:type="gramStart"/>
      <w:r>
        <w:rPr>
          <w:rFonts w:ascii="ˎ̥" w:hAnsi="ˎ̥" w:cs="Helvetica"/>
          <w:color w:val="333333"/>
          <w:sz w:val="32"/>
          <w:szCs w:val="32"/>
          <w:lang/>
        </w:rPr>
        <w:t>微企业</w:t>
      </w:r>
      <w:proofErr w:type="gramEnd"/>
      <w:r>
        <w:rPr>
          <w:rFonts w:ascii="ˎ̥" w:hAnsi="ˎ̥" w:cs="Helvetica"/>
          <w:color w:val="333333"/>
          <w:sz w:val="32"/>
          <w:szCs w:val="32"/>
          <w:lang/>
        </w:rPr>
        <w:t>直接融资渠道。</w:t>
      </w:r>
    </w:p>
    <w:p w:rsidR="00000000" w:rsidRDefault="00DB4FE6">
      <w:pPr>
        <w:spacing w:line="600" w:lineRule="atLeast"/>
        <w:ind w:firstLine="656"/>
        <w:divId w:val="595133170"/>
        <w:rPr>
          <w:rFonts w:ascii="ˎ̥" w:hAnsi="ˎ̥" w:cs="Helvetica"/>
          <w:color w:val="333333"/>
          <w:sz w:val="19"/>
          <w:szCs w:val="19"/>
          <w:lang/>
        </w:rPr>
      </w:pPr>
      <w:r>
        <w:rPr>
          <w:rFonts w:ascii="ˎ̥" w:hAnsi="ˎ̥" w:cs="Helvetica"/>
          <w:color w:val="333333"/>
          <w:sz w:val="32"/>
          <w:szCs w:val="32"/>
          <w:lang/>
        </w:rPr>
        <w:t>（五）引进投资机构。完善我市资本市场建设，积极引进国内外有实力的股权投资机构在惠州设立分支机构，鼓励投资机构参与投资本市企业，探索成立多种形式基金，共同推进本市企业快速发展。</w:t>
      </w:r>
    </w:p>
    <w:p w:rsidR="00000000" w:rsidRDefault="00DB4FE6">
      <w:pPr>
        <w:spacing w:line="600" w:lineRule="atLeast"/>
        <w:ind w:firstLine="656"/>
        <w:divId w:val="389421953"/>
        <w:rPr>
          <w:rFonts w:ascii="ˎ̥" w:hAnsi="ˎ̥" w:cs="Helvetica"/>
          <w:color w:val="333333"/>
          <w:sz w:val="19"/>
          <w:szCs w:val="19"/>
          <w:lang/>
        </w:rPr>
      </w:pPr>
      <w:r>
        <w:rPr>
          <w:rFonts w:ascii="ˎ̥" w:hAnsi="ˎ̥" w:cs="Helvetica"/>
          <w:color w:val="333333"/>
          <w:sz w:val="32"/>
          <w:szCs w:val="32"/>
          <w:lang/>
        </w:rPr>
        <w:t>三、工作机制</w:t>
      </w:r>
    </w:p>
    <w:p w:rsidR="00000000" w:rsidRDefault="00DB4FE6">
      <w:pPr>
        <w:spacing w:line="600" w:lineRule="atLeast"/>
        <w:ind w:firstLine="656"/>
        <w:divId w:val="1031224442"/>
        <w:rPr>
          <w:rFonts w:ascii="ˎ̥" w:hAnsi="ˎ̥" w:cs="Helvetica"/>
          <w:color w:val="333333"/>
          <w:sz w:val="19"/>
          <w:szCs w:val="19"/>
          <w:lang/>
        </w:rPr>
      </w:pPr>
      <w:r>
        <w:rPr>
          <w:rFonts w:ascii="ˎ̥" w:hAnsi="ˎ̥" w:cs="Helvetica"/>
          <w:color w:val="333333"/>
          <w:sz w:val="32"/>
          <w:szCs w:val="32"/>
          <w:lang/>
        </w:rPr>
        <w:t>在市发展利用资本市场工作领导小组统一领导下，市金融工作局负责推动企业直接融资的指导和协调工作；市直相关职能部门积极支持配合企业股改工作；各县、区政府（含大亚湾开发区、仲恺高新区管委会，下同）进一步完善推动企业直接融资工作机制，依法落实扶持政策措施，提供优质、高效的服务。</w:t>
      </w:r>
    </w:p>
    <w:p w:rsidR="00000000" w:rsidRDefault="00DB4FE6">
      <w:pPr>
        <w:spacing w:line="600" w:lineRule="atLeast"/>
        <w:ind w:firstLine="656"/>
        <w:divId w:val="633020057"/>
        <w:rPr>
          <w:rFonts w:ascii="ˎ̥" w:hAnsi="ˎ̥" w:cs="Helvetica"/>
          <w:color w:val="333333"/>
          <w:sz w:val="19"/>
          <w:szCs w:val="19"/>
          <w:lang/>
        </w:rPr>
      </w:pPr>
      <w:r>
        <w:rPr>
          <w:rFonts w:ascii="ˎ̥" w:hAnsi="ˎ̥" w:cs="Helvetica"/>
          <w:color w:val="333333"/>
          <w:sz w:val="32"/>
          <w:szCs w:val="32"/>
          <w:lang/>
        </w:rPr>
        <w:t>（一）完善上市工作制度。</w:t>
      </w:r>
      <w:r>
        <w:rPr>
          <w:rFonts w:ascii="ˎ̥" w:hAnsi="ˎ̥" w:cs="Helvetica"/>
          <w:color w:val="333333"/>
          <w:sz w:val="32"/>
          <w:szCs w:val="32"/>
          <w:lang/>
        </w:rPr>
        <w:t>各县、区政府进一步发挥好企业上市工作的协调和引领工作。制定行之有效的工作规划，共同为企业上市提供高效、便捷、畅通的服务，构建拟上市企业诉求快速解决机制，从根本上切实解决拟上市企业发展过程中遇到的困难与问题。</w:t>
      </w:r>
    </w:p>
    <w:p w:rsidR="00000000" w:rsidRDefault="00DB4FE6">
      <w:pPr>
        <w:spacing w:line="600" w:lineRule="atLeast"/>
        <w:ind w:firstLine="656"/>
        <w:divId w:val="1808938364"/>
        <w:rPr>
          <w:rFonts w:ascii="ˎ̥" w:hAnsi="ˎ̥" w:cs="Helvetica"/>
          <w:color w:val="333333"/>
          <w:sz w:val="19"/>
          <w:szCs w:val="19"/>
          <w:lang/>
        </w:rPr>
      </w:pPr>
      <w:r>
        <w:rPr>
          <w:rFonts w:ascii="ˎ̥" w:hAnsi="ˎ̥" w:cs="Helvetica"/>
          <w:color w:val="333333"/>
          <w:sz w:val="32"/>
          <w:szCs w:val="32"/>
          <w:lang/>
        </w:rPr>
        <w:t>（二）设立首席服务官。积极设立首席服务</w:t>
      </w:r>
      <w:proofErr w:type="gramStart"/>
      <w:r>
        <w:rPr>
          <w:rFonts w:ascii="ˎ̥" w:hAnsi="ˎ̥" w:cs="Helvetica"/>
          <w:color w:val="333333"/>
          <w:sz w:val="32"/>
          <w:szCs w:val="32"/>
          <w:lang/>
        </w:rPr>
        <w:t>官工作</w:t>
      </w:r>
      <w:proofErr w:type="gramEnd"/>
      <w:r>
        <w:rPr>
          <w:rFonts w:ascii="ˎ̥" w:hAnsi="ˎ̥" w:cs="Helvetica"/>
          <w:color w:val="333333"/>
          <w:sz w:val="32"/>
          <w:szCs w:val="32"/>
          <w:lang/>
        </w:rPr>
        <w:t>机制，共同为拟上市企业提供高效、畅通的直通车、一站式服务。对以下类型的企业，设立相应的首席服务官：已上市和已向中国证券监督管理委员会申请公开发行股票并被受理的企业由市领导担任首席服务官；进入辅导期的企业由所在县、区领导担任首席服务官；其他入库企业由所在县、区安</w:t>
      </w:r>
      <w:r>
        <w:rPr>
          <w:rFonts w:ascii="ˎ̥" w:hAnsi="ˎ̥" w:cs="Helvetica"/>
          <w:color w:val="333333"/>
          <w:sz w:val="32"/>
          <w:szCs w:val="32"/>
          <w:lang/>
        </w:rPr>
        <w:t>排相应的领导担任首席服务官。</w:t>
      </w:r>
    </w:p>
    <w:p w:rsidR="00000000" w:rsidRDefault="00DB4FE6">
      <w:pPr>
        <w:spacing w:line="600" w:lineRule="atLeast"/>
        <w:ind w:firstLine="656"/>
        <w:divId w:val="2015567456"/>
        <w:rPr>
          <w:rFonts w:ascii="ˎ̥" w:hAnsi="ˎ̥" w:cs="Helvetica"/>
          <w:color w:val="333333"/>
          <w:sz w:val="19"/>
          <w:szCs w:val="19"/>
          <w:lang/>
        </w:rPr>
      </w:pPr>
      <w:r>
        <w:rPr>
          <w:rFonts w:ascii="ˎ̥" w:hAnsi="ˎ̥" w:cs="Helvetica"/>
          <w:color w:val="333333"/>
          <w:sz w:val="32"/>
          <w:szCs w:val="32"/>
          <w:lang/>
        </w:rPr>
        <w:t>（三）加强服务培育。市直及县、区职能部门对惠州市资本市场重点培育企业在财务规范、权证办理、项目用地及产权、股权等各类问题上应加大扶持力度，推动企业规范财务制度，完善财产确权工作。</w:t>
      </w:r>
    </w:p>
    <w:p w:rsidR="00000000" w:rsidRDefault="00DB4FE6">
      <w:pPr>
        <w:spacing w:line="600" w:lineRule="atLeast"/>
        <w:ind w:firstLine="656"/>
        <w:divId w:val="1587838769"/>
        <w:rPr>
          <w:rFonts w:ascii="ˎ̥" w:hAnsi="ˎ̥" w:cs="Helvetica"/>
          <w:color w:val="333333"/>
          <w:sz w:val="19"/>
          <w:szCs w:val="19"/>
          <w:lang/>
        </w:rPr>
      </w:pPr>
      <w:r>
        <w:rPr>
          <w:rFonts w:ascii="ˎ̥" w:hAnsi="ˎ̥" w:cs="Helvetica"/>
          <w:color w:val="333333"/>
          <w:sz w:val="32"/>
          <w:szCs w:val="32"/>
          <w:lang/>
        </w:rPr>
        <w:t>（四）支持企业改制。重点培育的企业在进行股份制改造时，如并购重组，涉及土地、房产为同一法人的母公司与控股子公司及内部关联公司之间流转，在不改变土地、房产用途和使用功能的前提下，更名费及其他税费按相关规定缴纳；如涉及国有股权，各项资产损失和资金挂账，经市国资委审核批准后，可依次冲减盈余公积金、资本公积金</w:t>
      </w:r>
      <w:r>
        <w:rPr>
          <w:rFonts w:ascii="ˎ̥" w:hAnsi="ˎ̥" w:cs="Helvetica"/>
          <w:color w:val="333333"/>
          <w:sz w:val="32"/>
          <w:szCs w:val="32"/>
          <w:lang/>
        </w:rPr>
        <w:t>和实收资本。国有企业改制分流职工的安置费、欠缴的社会保险金和住房公积金等费用从改制企业的国有产权转让收入中解决。</w:t>
      </w:r>
    </w:p>
    <w:p w:rsidR="00000000" w:rsidRDefault="00DB4FE6">
      <w:pPr>
        <w:spacing w:line="600" w:lineRule="atLeast"/>
        <w:ind w:firstLine="656"/>
        <w:divId w:val="990524579"/>
        <w:rPr>
          <w:rFonts w:ascii="ˎ̥" w:hAnsi="ˎ̥" w:cs="Helvetica"/>
          <w:color w:val="333333"/>
          <w:sz w:val="19"/>
          <w:szCs w:val="19"/>
          <w:lang/>
        </w:rPr>
      </w:pPr>
      <w:r>
        <w:rPr>
          <w:rFonts w:ascii="ˎ̥" w:hAnsi="ˎ̥" w:cs="Helvetica"/>
          <w:color w:val="333333"/>
          <w:sz w:val="32"/>
          <w:szCs w:val="32"/>
          <w:lang/>
        </w:rPr>
        <w:t>四、扶持政策</w:t>
      </w:r>
    </w:p>
    <w:p w:rsidR="00000000" w:rsidRDefault="00DB4FE6">
      <w:pPr>
        <w:spacing w:line="600" w:lineRule="atLeast"/>
        <w:ind w:firstLine="656"/>
        <w:divId w:val="1787574852"/>
        <w:rPr>
          <w:rFonts w:ascii="ˎ̥" w:hAnsi="ˎ̥" w:cs="Helvetica"/>
          <w:color w:val="333333"/>
          <w:sz w:val="19"/>
          <w:szCs w:val="19"/>
          <w:lang/>
        </w:rPr>
      </w:pPr>
      <w:r>
        <w:rPr>
          <w:rFonts w:ascii="ˎ̥" w:hAnsi="ˎ̥" w:cs="Helvetica"/>
          <w:color w:val="333333"/>
          <w:sz w:val="32"/>
          <w:szCs w:val="32"/>
          <w:lang/>
        </w:rPr>
        <w:t>（一）注册地在我市的企业，在境内</w:t>
      </w:r>
      <w:r>
        <w:rPr>
          <w:rFonts w:ascii="ˎ̥" w:hAnsi="ˎ̥" w:cs="Helvetica"/>
          <w:color w:val="333333"/>
          <w:sz w:val="32"/>
          <w:szCs w:val="32"/>
          <w:lang/>
        </w:rPr>
        <w:t>A</w:t>
      </w:r>
      <w:r>
        <w:rPr>
          <w:rFonts w:ascii="ˎ̥" w:hAnsi="ˎ̥" w:cs="Helvetica"/>
          <w:color w:val="333333"/>
          <w:sz w:val="32"/>
          <w:szCs w:val="32"/>
          <w:lang/>
        </w:rPr>
        <w:t>股资本市场成功上市融资，市政府给予最高</w:t>
      </w:r>
      <w:r>
        <w:rPr>
          <w:rFonts w:ascii="ˎ̥" w:hAnsi="ˎ̥" w:cs="Helvetica"/>
          <w:color w:val="333333"/>
          <w:sz w:val="32"/>
          <w:szCs w:val="32"/>
          <w:lang/>
        </w:rPr>
        <w:t>1,000</w:t>
      </w:r>
      <w:r>
        <w:rPr>
          <w:rFonts w:ascii="ˎ̥" w:hAnsi="ˎ̥" w:cs="Helvetica"/>
          <w:color w:val="333333"/>
          <w:sz w:val="32"/>
          <w:szCs w:val="32"/>
          <w:lang/>
        </w:rPr>
        <w:t>万元奖励。其中，报中国证券监督管理委员会广东监管局辅导备案的企业，给予</w:t>
      </w:r>
      <w:r>
        <w:rPr>
          <w:rFonts w:ascii="ˎ̥" w:hAnsi="ˎ̥" w:cs="Helvetica"/>
          <w:color w:val="333333"/>
          <w:sz w:val="32"/>
          <w:szCs w:val="32"/>
          <w:lang/>
        </w:rPr>
        <w:t>100</w:t>
      </w:r>
      <w:r>
        <w:rPr>
          <w:rFonts w:ascii="ˎ̥" w:hAnsi="ˎ̥" w:cs="Helvetica"/>
          <w:color w:val="333333"/>
          <w:sz w:val="32"/>
          <w:szCs w:val="32"/>
          <w:lang/>
        </w:rPr>
        <w:t>万元奖励；经中国证券监督管理委员会广东监管局辅导验收，向中国证券监督管理委员会报送</w:t>
      </w:r>
      <w:r>
        <w:rPr>
          <w:rFonts w:ascii="ˎ̥" w:hAnsi="ˎ̥" w:cs="Helvetica"/>
          <w:color w:val="333333"/>
          <w:sz w:val="32"/>
          <w:szCs w:val="32"/>
          <w:lang/>
        </w:rPr>
        <w:t>IPO</w:t>
      </w:r>
      <w:r>
        <w:rPr>
          <w:rFonts w:ascii="ˎ̥" w:hAnsi="ˎ̥" w:cs="Helvetica"/>
          <w:color w:val="333333"/>
          <w:sz w:val="32"/>
          <w:szCs w:val="32"/>
          <w:lang/>
        </w:rPr>
        <w:t>申请材料并被受理的企业，给予</w:t>
      </w:r>
      <w:r>
        <w:rPr>
          <w:rFonts w:ascii="ˎ̥" w:hAnsi="ˎ̥" w:cs="Helvetica"/>
          <w:color w:val="333333"/>
          <w:sz w:val="32"/>
          <w:szCs w:val="32"/>
          <w:lang/>
        </w:rPr>
        <w:t>200</w:t>
      </w:r>
      <w:r>
        <w:rPr>
          <w:rFonts w:ascii="ˎ̥" w:hAnsi="ˎ̥" w:cs="Helvetica"/>
          <w:color w:val="333333"/>
          <w:sz w:val="32"/>
          <w:szCs w:val="32"/>
          <w:lang/>
        </w:rPr>
        <w:t>万元奖励；经中国证券监督管理委员会核准发行股票并成功上市的企业，给予</w:t>
      </w:r>
      <w:r>
        <w:rPr>
          <w:rFonts w:ascii="ˎ̥" w:hAnsi="ˎ̥" w:cs="Helvetica"/>
          <w:color w:val="333333"/>
          <w:sz w:val="32"/>
          <w:szCs w:val="32"/>
          <w:lang/>
        </w:rPr>
        <w:t>400</w:t>
      </w:r>
      <w:r>
        <w:rPr>
          <w:rFonts w:ascii="ˎ̥" w:hAnsi="ˎ̥" w:cs="Helvetica"/>
          <w:color w:val="333333"/>
          <w:sz w:val="32"/>
          <w:szCs w:val="32"/>
          <w:lang/>
        </w:rPr>
        <w:t>万元奖励。首发融资规模</w:t>
      </w:r>
      <w:r>
        <w:rPr>
          <w:rFonts w:ascii="ˎ̥" w:hAnsi="ˎ̥" w:cs="Helvetica"/>
          <w:color w:val="333333"/>
          <w:sz w:val="32"/>
          <w:szCs w:val="32"/>
          <w:lang/>
        </w:rPr>
        <w:t>10</w:t>
      </w:r>
      <w:r>
        <w:rPr>
          <w:rFonts w:ascii="ˎ̥" w:hAnsi="ˎ̥" w:cs="Helvetica"/>
          <w:color w:val="333333"/>
          <w:sz w:val="32"/>
          <w:szCs w:val="32"/>
          <w:lang/>
        </w:rPr>
        <w:t>亿元</w:t>
      </w:r>
      <w:r>
        <w:rPr>
          <w:rFonts w:ascii="ˎ̥" w:hAnsi="ˎ̥" w:cs="Helvetica"/>
          <w:color w:val="333333"/>
          <w:sz w:val="32"/>
          <w:szCs w:val="32"/>
          <w:lang/>
        </w:rPr>
        <w:t>（不含）以下的再给予一次性</w:t>
      </w:r>
      <w:r>
        <w:rPr>
          <w:rFonts w:ascii="ˎ̥" w:hAnsi="ˎ̥" w:cs="Helvetica"/>
          <w:color w:val="333333"/>
          <w:sz w:val="32"/>
          <w:szCs w:val="32"/>
          <w:lang/>
        </w:rPr>
        <w:t>100</w:t>
      </w:r>
      <w:r>
        <w:rPr>
          <w:rFonts w:ascii="ˎ̥" w:hAnsi="ˎ̥" w:cs="Helvetica"/>
          <w:color w:val="333333"/>
          <w:sz w:val="32"/>
          <w:szCs w:val="32"/>
          <w:lang/>
        </w:rPr>
        <w:t>万元奖励、</w:t>
      </w:r>
      <w:r>
        <w:rPr>
          <w:rFonts w:ascii="ˎ̥" w:hAnsi="ˎ̥" w:cs="Helvetica"/>
          <w:color w:val="333333"/>
          <w:sz w:val="32"/>
          <w:szCs w:val="32"/>
          <w:lang/>
        </w:rPr>
        <w:t>10</w:t>
      </w:r>
      <w:r>
        <w:rPr>
          <w:rFonts w:ascii="ˎ̥" w:hAnsi="ˎ̥" w:cs="Helvetica"/>
          <w:color w:val="333333"/>
          <w:sz w:val="32"/>
          <w:szCs w:val="32"/>
          <w:lang/>
        </w:rPr>
        <w:t>亿元（含）以上</w:t>
      </w:r>
      <w:r>
        <w:rPr>
          <w:rFonts w:ascii="ˎ̥" w:hAnsi="ˎ̥" w:cs="Helvetica"/>
          <w:color w:val="333333"/>
          <w:sz w:val="32"/>
          <w:szCs w:val="32"/>
          <w:lang/>
        </w:rPr>
        <w:t>20</w:t>
      </w:r>
      <w:r>
        <w:rPr>
          <w:rFonts w:ascii="ˎ̥" w:hAnsi="ˎ̥" w:cs="Helvetica"/>
          <w:color w:val="333333"/>
          <w:sz w:val="32"/>
          <w:szCs w:val="32"/>
          <w:lang/>
        </w:rPr>
        <w:t>亿元（不含）以下的再给予一次性</w:t>
      </w:r>
      <w:r>
        <w:rPr>
          <w:rFonts w:ascii="ˎ̥" w:hAnsi="ˎ̥" w:cs="Helvetica"/>
          <w:color w:val="333333"/>
          <w:sz w:val="32"/>
          <w:szCs w:val="32"/>
          <w:lang/>
        </w:rPr>
        <w:t>200</w:t>
      </w:r>
      <w:r>
        <w:rPr>
          <w:rFonts w:ascii="ˎ̥" w:hAnsi="ˎ̥" w:cs="Helvetica"/>
          <w:color w:val="333333"/>
          <w:sz w:val="32"/>
          <w:szCs w:val="32"/>
          <w:lang/>
        </w:rPr>
        <w:t>万元奖励、</w:t>
      </w:r>
      <w:r>
        <w:rPr>
          <w:rFonts w:ascii="ˎ̥" w:hAnsi="ˎ̥" w:cs="Helvetica"/>
          <w:color w:val="333333"/>
          <w:sz w:val="32"/>
          <w:szCs w:val="32"/>
          <w:lang/>
        </w:rPr>
        <w:t>20</w:t>
      </w:r>
      <w:r>
        <w:rPr>
          <w:rFonts w:ascii="ˎ̥" w:hAnsi="ˎ̥" w:cs="Helvetica"/>
          <w:color w:val="333333"/>
          <w:sz w:val="32"/>
          <w:szCs w:val="32"/>
          <w:lang/>
        </w:rPr>
        <w:t>亿元（含）以上的再给予一次性</w:t>
      </w:r>
      <w:r>
        <w:rPr>
          <w:rFonts w:ascii="ˎ̥" w:hAnsi="ˎ̥" w:cs="Helvetica"/>
          <w:color w:val="333333"/>
          <w:sz w:val="32"/>
          <w:szCs w:val="32"/>
          <w:lang/>
        </w:rPr>
        <w:t>300</w:t>
      </w:r>
      <w:r>
        <w:rPr>
          <w:rFonts w:ascii="ˎ̥" w:hAnsi="ˎ̥" w:cs="Helvetica"/>
          <w:color w:val="333333"/>
          <w:sz w:val="32"/>
          <w:szCs w:val="32"/>
          <w:lang/>
        </w:rPr>
        <w:t>万元奖励。</w:t>
      </w:r>
    </w:p>
    <w:p w:rsidR="00000000" w:rsidRDefault="00DB4FE6">
      <w:pPr>
        <w:spacing w:line="600" w:lineRule="atLeast"/>
        <w:ind w:firstLine="656"/>
        <w:divId w:val="1817457586"/>
        <w:rPr>
          <w:rFonts w:ascii="ˎ̥" w:hAnsi="ˎ̥" w:cs="Helvetica"/>
          <w:color w:val="333333"/>
          <w:sz w:val="19"/>
          <w:szCs w:val="19"/>
          <w:lang/>
        </w:rPr>
      </w:pPr>
      <w:r>
        <w:rPr>
          <w:rFonts w:ascii="ˎ̥" w:hAnsi="ˎ̥" w:cs="Helvetica"/>
          <w:color w:val="333333"/>
          <w:sz w:val="32"/>
          <w:szCs w:val="32"/>
          <w:lang/>
        </w:rPr>
        <w:t>（二）注册地在我市的企业，在全国中小企业股份转让系统挂牌，市政府给予最高</w:t>
      </w:r>
      <w:r>
        <w:rPr>
          <w:rFonts w:ascii="ˎ̥" w:hAnsi="ˎ̥" w:cs="Helvetica"/>
          <w:color w:val="333333"/>
          <w:sz w:val="32"/>
          <w:szCs w:val="32"/>
          <w:lang/>
        </w:rPr>
        <w:t>100</w:t>
      </w:r>
      <w:r>
        <w:rPr>
          <w:rFonts w:ascii="ˎ̥" w:hAnsi="ˎ̥" w:cs="Helvetica"/>
          <w:color w:val="333333"/>
          <w:sz w:val="32"/>
          <w:szCs w:val="32"/>
          <w:lang/>
        </w:rPr>
        <w:t>万元奖励。其中，企业完成股份制改造并与保荐机构、做市商签订合作协议的奖励</w:t>
      </w:r>
      <w:r>
        <w:rPr>
          <w:rFonts w:ascii="ˎ̥" w:hAnsi="ˎ̥" w:cs="Helvetica"/>
          <w:color w:val="333333"/>
          <w:sz w:val="32"/>
          <w:szCs w:val="32"/>
          <w:lang/>
        </w:rPr>
        <w:t>50</w:t>
      </w:r>
      <w:r>
        <w:rPr>
          <w:rFonts w:ascii="ˎ̥" w:hAnsi="ˎ̥" w:cs="Helvetica"/>
          <w:color w:val="333333"/>
          <w:sz w:val="32"/>
          <w:szCs w:val="32"/>
          <w:lang/>
        </w:rPr>
        <w:t>万元，成功挂牌交易后再奖励</w:t>
      </w:r>
      <w:r>
        <w:rPr>
          <w:rFonts w:ascii="ˎ̥" w:hAnsi="ˎ̥" w:cs="Helvetica"/>
          <w:color w:val="333333"/>
          <w:sz w:val="32"/>
          <w:szCs w:val="32"/>
          <w:lang/>
        </w:rPr>
        <w:t>50</w:t>
      </w:r>
      <w:r>
        <w:rPr>
          <w:rFonts w:ascii="ˎ̥" w:hAnsi="ˎ̥" w:cs="Helvetica"/>
          <w:color w:val="333333"/>
          <w:sz w:val="32"/>
          <w:szCs w:val="32"/>
          <w:lang/>
        </w:rPr>
        <w:t>万元。在全国中小企业股份转让系统挂牌的企业</w:t>
      </w:r>
      <w:proofErr w:type="gramStart"/>
      <w:r>
        <w:rPr>
          <w:rFonts w:ascii="ˎ̥" w:hAnsi="ˎ̥" w:cs="Helvetica"/>
          <w:color w:val="333333"/>
          <w:sz w:val="32"/>
          <w:szCs w:val="32"/>
          <w:lang/>
        </w:rPr>
        <w:t>成功转板到</w:t>
      </w:r>
      <w:proofErr w:type="gramEnd"/>
      <w:r>
        <w:rPr>
          <w:rFonts w:ascii="ˎ̥" w:hAnsi="ˎ̥" w:cs="Helvetica"/>
          <w:color w:val="333333"/>
          <w:sz w:val="32"/>
          <w:szCs w:val="32"/>
          <w:lang/>
        </w:rPr>
        <w:t>境内</w:t>
      </w:r>
      <w:r>
        <w:rPr>
          <w:rFonts w:ascii="ˎ̥" w:hAnsi="ˎ̥" w:cs="Helvetica"/>
          <w:color w:val="333333"/>
          <w:sz w:val="32"/>
          <w:szCs w:val="32"/>
          <w:lang/>
        </w:rPr>
        <w:t>A</w:t>
      </w:r>
      <w:r>
        <w:rPr>
          <w:rFonts w:ascii="ˎ̥" w:hAnsi="ˎ̥" w:cs="Helvetica"/>
          <w:color w:val="333333"/>
          <w:sz w:val="32"/>
          <w:szCs w:val="32"/>
          <w:lang/>
        </w:rPr>
        <w:t>股上市的，按照前款的标准补足奖励金额最高至</w:t>
      </w:r>
      <w:r>
        <w:rPr>
          <w:rFonts w:ascii="ˎ̥" w:hAnsi="ˎ̥" w:cs="Helvetica"/>
          <w:color w:val="333333"/>
          <w:sz w:val="32"/>
          <w:szCs w:val="32"/>
          <w:lang/>
        </w:rPr>
        <w:t>1,000</w:t>
      </w:r>
      <w:r>
        <w:rPr>
          <w:rFonts w:ascii="ˎ̥" w:hAnsi="ˎ̥" w:cs="Helvetica"/>
          <w:color w:val="333333"/>
          <w:sz w:val="32"/>
          <w:szCs w:val="32"/>
          <w:lang/>
        </w:rPr>
        <w:t>万元。</w:t>
      </w:r>
    </w:p>
    <w:p w:rsidR="00000000" w:rsidRDefault="00DB4FE6">
      <w:pPr>
        <w:spacing w:line="600" w:lineRule="atLeast"/>
        <w:ind w:firstLine="656"/>
        <w:divId w:val="1574269320"/>
        <w:rPr>
          <w:rFonts w:ascii="ˎ̥" w:hAnsi="ˎ̥" w:cs="Helvetica"/>
          <w:color w:val="333333"/>
          <w:sz w:val="19"/>
          <w:szCs w:val="19"/>
          <w:lang/>
        </w:rPr>
      </w:pPr>
      <w:r>
        <w:rPr>
          <w:rFonts w:ascii="ˎ̥" w:hAnsi="ˎ̥" w:cs="Helvetica"/>
          <w:color w:val="333333"/>
          <w:sz w:val="32"/>
          <w:szCs w:val="32"/>
          <w:lang/>
        </w:rPr>
        <w:t>（三）注册地在我市的企业，以</w:t>
      </w:r>
      <w:r>
        <w:rPr>
          <w:rFonts w:ascii="ˎ̥" w:hAnsi="ˎ̥" w:cs="Helvetica"/>
          <w:color w:val="333333"/>
          <w:sz w:val="32"/>
          <w:szCs w:val="32"/>
          <w:lang/>
        </w:rPr>
        <w:t>“</w:t>
      </w:r>
      <w:r>
        <w:rPr>
          <w:rFonts w:ascii="ˎ̥" w:hAnsi="ˎ̥" w:cs="Helvetica"/>
          <w:color w:val="333333"/>
          <w:sz w:val="32"/>
          <w:szCs w:val="32"/>
          <w:lang/>
        </w:rPr>
        <w:t>借壳</w:t>
      </w:r>
      <w:r>
        <w:rPr>
          <w:rFonts w:ascii="ˎ̥" w:hAnsi="ˎ̥" w:cs="Helvetica"/>
          <w:color w:val="333333"/>
          <w:sz w:val="32"/>
          <w:szCs w:val="32"/>
          <w:lang/>
        </w:rPr>
        <w:t>”</w:t>
      </w:r>
      <w:r>
        <w:rPr>
          <w:rFonts w:ascii="ˎ̥" w:hAnsi="ˎ̥" w:cs="Helvetica"/>
          <w:color w:val="333333"/>
          <w:sz w:val="32"/>
          <w:szCs w:val="32"/>
          <w:lang/>
        </w:rPr>
        <w:t>、</w:t>
      </w:r>
      <w:r>
        <w:rPr>
          <w:rFonts w:ascii="ˎ̥" w:hAnsi="ˎ̥" w:cs="Helvetica"/>
          <w:color w:val="333333"/>
          <w:sz w:val="32"/>
          <w:szCs w:val="32"/>
          <w:lang/>
        </w:rPr>
        <w:t>“</w:t>
      </w:r>
      <w:r>
        <w:rPr>
          <w:rFonts w:ascii="ˎ̥" w:hAnsi="ˎ̥" w:cs="Helvetica"/>
          <w:color w:val="333333"/>
          <w:sz w:val="32"/>
          <w:szCs w:val="32"/>
          <w:lang/>
        </w:rPr>
        <w:t>买壳</w:t>
      </w:r>
      <w:r>
        <w:rPr>
          <w:rFonts w:ascii="ˎ̥" w:hAnsi="ˎ̥" w:cs="Helvetica"/>
          <w:color w:val="333333"/>
          <w:sz w:val="32"/>
          <w:szCs w:val="32"/>
          <w:lang/>
        </w:rPr>
        <w:t>”</w:t>
      </w:r>
      <w:r>
        <w:rPr>
          <w:rFonts w:ascii="ˎ̥" w:hAnsi="ˎ̥" w:cs="Helvetica"/>
          <w:color w:val="333333"/>
          <w:sz w:val="32"/>
          <w:szCs w:val="32"/>
          <w:lang/>
        </w:rPr>
        <w:t>的方</w:t>
      </w:r>
      <w:r>
        <w:rPr>
          <w:rFonts w:ascii="ˎ̥" w:hAnsi="ˎ̥" w:cs="Helvetica"/>
          <w:color w:val="333333"/>
          <w:sz w:val="32"/>
          <w:szCs w:val="32"/>
          <w:lang/>
        </w:rPr>
        <w:t>式上市融资或以实际控股的公司在港台、境外资本市场成功上市融资，并将募集的资金用于在惠州企业自身发展的，给予最高</w:t>
      </w:r>
      <w:r>
        <w:rPr>
          <w:rFonts w:ascii="ˎ̥" w:hAnsi="ˎ̥" w:cs="Helvetica"/>
          <w:color w:val="333333"/>
          <w:sz w:val="32"/>
          <w:szCs w:val="32"/>
          <w:lang/>
        </w:rPr>
        <w:t>300</w:t>
      </w:r>
      <w:r>
        <w:rPr>
          <w:rFonts w:ascii="ˎ̥" w:hAnsi="ˎ̥" w:cs="Helvetica"/>
          <w:color w:val="333333"/>
          <w:sz w:val="32"/>
          <w:szCs w:val="32"/>
          <w:lang/>
        </w:rPr>
        <w:t>万元奖励。</w:t>
      </w:r>
    </w:p>
    <w:p w:rsidR="00000000" w:rsidRDefault="00DB4FE6">
      <w:pPr>
        <w:spacing w:line="600" w:lineRule="atLeast"/>
        <w:ind w:firstLine="656"/>
        <w:divId w:val="626349115"/>
        <w:rPr>
          <w:rFonts w:ascii="ˎ̥" w:hAnsi="ˎ̥" w:cs="Helvetica"/>
          <w:color w:val="333333"/>
          <w:sz w:val="19"/>
          <w:szCs w:val="19"/>
          <w:lang/>
        </w:rPr>
      </w:pPr>
      <w:r>
        <w:rPr>
          <w:rFonts w:ascii="ˎ̥" w:hAnsi="ˎ̥" w:cs="Helvetica"/>
          <w:color w:val="333333"/>
          <w:sz w:val="32"/>
          <w:szCs w:val="32"/>
          <w:lang/>
        </w:rPr>
        <w:t>（四）将注册地、纳税登记整体迁入我市的外地上市企业，给予一次性奖励</w:t>
      </w:r>
      <w:r>
        <w:rPr>
          <w:rFonts w:ascii="ˎ̥" w:hAnsi="ˎ̥" w:cs="Helvetica"/>
          <w:color w:val="333333"/>
          <w:sz w:val="32"/>
          <w:szCs w:val="32"/>
          <w:lang/>
        </w:rPr>
        <w:t>700</w:t>
      </w:r>
      <w:r>
        <w:rPr>
          <w:rFonts w:ascii="ˎ̥" w:hAnsi="ˎ̥" w:cs="Helvetica"/>
          <w:color w:val="333333"/>
          <w:sz w:val="32"/>
          <w:szCs w:val="32"/>
          <w:lang/>
        </w:rPr>
        <w:t>万元。</w:t>
      </w:r>
    </w:p>
    <w:p w:rsidR="00000000" w:rsidRDefault="00DB4FE6">
      <w:pPr>
        <w:spacing w:line="600" w:lineRule="atLeast"/>
        <w:ind w:firstLine="656"/>
        <w:divId w:val="99179285"/>
        <w:rPr>
          <w:rFonts w:ascii="ˎ̥" w:hAnsi="ˎ̥" w:cs="Helvetica"/>
          <w:color w:val="333333"/>
          <w:sz w:val="19"/>
          <w:szCs w:val="19"/>
          <w:lang/>
        </w:rPr>
      </w:pPr>
      <w:r>
        <w:rPr>
          <w:rFonts w:ascii="ˎ̥" w:hAnsi="ˎ̥" w:cs="Helvetica"/>
          <w:color w:val="333333"/>
          <w:sz w:val="32"/>
          <w:szCs w:val="32"/>
          <w:lang/>
        </w:rPr>
        <w:t>（五）企业股改、资产重组过程中涉及的税费，按国家有关规定给予政策优惠。对有限责任公司整体变更为股份有限公司时，有关部门依法对其资产作名称变更处理。</w:t>
      </w:r>
    </w:p>
    <w:p w:rsidR="00000000" w:rsidRDefault="00DB4FE6">
      <w:pPr>
        <w:spacing w:line="600" w:lineRule="atLeast"/>
        <w:ind w:firstLine="656"/>
        <w:divId w:val="1713192308"/>
        <w:rPr>
          <w:rFonts w:ascii="ˎ̥" w:hAnsi="ˎ̥" w:cs="Helvetica"/>
          <w:color w:val="333333"/>
          <w:sz w:val="19"/>
          <w:szCs w:val="19"/>
          <w:lang/>
        </w:rPr>
      </w:pPr>
      <w:r>
        <w:rPr>
          <w:rFonts w:ascii="ˎ̥" w:hAnsi="ˎ̥" w:cs="Helvetica"/>
          <w:color w:val="333333"/>
          <w:sz w:val="32"/>
          <w:szCs w:val="32"/>
          <w:lang/>
        </w:rPr>
        <w:t>（六）企业因股</w:t>
      </w:r>
      <w:proofErr w:type="gramStart"/>
      <w:r>
        <w:rPr>
          <w:rFonts w:ascii="ˎ̥" w:hAnsi="ˎ̥" w:cs="Helvetica"/>
          <w:color w:val="333333"/>
          <w:sz w:val="32"/>
          <w:szCs w:val="32"/>
          <w:lang/>
        </w:rPr>
        <w:t>改上市</w:t>
      </w:r>
      <w:proofErr w:type="gramEnd"/>
      <w:r>
        <w:rPr>
          <w:rFonts w:ascii="ˎ̥" w:hAnsi="ˎ̥" w:cs="Helvetica"/>
          <w:color w:val="333333"/>
          <w:sz w:val="32"/>
          <w:szCs w:val="32"/>
          <w:lang/>
        </w:rPr>
        <w:t>需要安排土地、环保和用电指标的，给予优先安排。</w:t>
      </w:r>
    </w:p>
    <w:p w:rsidR="00000000" w:rsidRDefault="00DB4FE6">
      <w:pPr>
        <w:spacing w:line="600" w:lineRule="atLeast"/>
        <w:ind w:firstLine="656"/>
        <w:divId w:val="900217713"/>
        <w:rPr>
          <w:rFonts w:ascii="ˎ̥" w:hAnsi="ˎ̥" w:cs="Helvetica"/>
          <w:color w:val="333333"/>
          <w:sz w:val="19"/>
          <w:szCs w:val="19"/>
          <w:lang/>
        </w:rPr>
      </w:pPr>
      <w:r>
        <w:rPr>
          <w:rFonts w:ascii="ˎ̥" w:hAnsi="ˎ̥" w:cs="Helvetica"/>
          <w:color w:val="333333"/>
          <w:sz w:val="32"/>
          <w:szCs w:val="32"/>
          <w:lang/>
        </w:rPr>
        <w:t>（七）市直相关部门对纳入本市上市后备辅导库的企业进行重点扶持。在技术改造、高新项目、重点</w:t>
      </w:r>
      <w:r>
        <w:rPr>
          <w:rFonts w:ascii="ˎ̥" w:hAnsi="ˎ̥" w:cs="Helvetica"/>
          <w:color w:val="333333"/>
          <w:sz w:val="32"/>
          <w:szCs w:val="32"/>
          <w:lang/>
        </w:rPr>
        <w:t>项目、融资等方面开启绿色通道，促使各相关重点项目向这些企业倾斜，积极推进后备企业发展，加快后备企业上市进程。</w:t>
      </w:r>
    </w:p>
    <w:p w:rsidR="00000000" w:rsidRDefault="00DB4FE6">
      <w:pPr>
        <w:spacing w:line="600" w:lineRule="atLeast"/>
        <w:ind w:firstLine="656"/>
        <w:divId w:val="1875148095"/>
        <w:rPr>
          <w:rFonts w:ascii="ˎ̥" w:hAnsi="ˎ̥" w:cs="Helvetica"/>
          <w:color w:val="333333"/>
          <w:sz w:val="19"/>
          <w:szCs w:val="19"/>
          <w:lang/>
        </w:rPr>
      </w:pPr>
      <w:r>
        <w:rPr>
          <w:rFonts w:ascii="ˎ̥" w:hAnsi="ˎ̥" w:cs="Helvetica"/>
          <w:color w:val="333333"/>
          <w:sz w:val="32"/>
          <w:szCs w:val="32"/>
          <w:lang/>
        </w:rPr>
        <w:t>（八）对拟上市企业高管人员，符合条件的，按照市委、市政府《关于深化完善</w:t>
      </w:r>
      <w:r>
        <w:rPr>
          <w:rFonts w:ascii="ˎ̥" w:hAnsi="ˎ̥" w:cs="Helvetica"/>
          <w:color w:val="333333"/>
          <w:sz w:val="32"/>
          <w:szCs w:val="32"/>
          <w:lang/>
        </w:rPr>
        <w:t>“</w:t>
      </w:r>
      <w:r>
        <w:rPr>
          <w:rFonts w:ascii="ˎ̥" w:hAnsi="ˎ̥" w:cs="Helvetica"/>
          <w:color w:val="333333"/>
          <w:sz w:val="32"/>
          <w:szCs w:val="32"/>
          <w:lang/>
        </w:rPr>
        <w:t>人才双高计划</w:t>
      </w:r>
      <w:r>
        <w:rPr>
          <w:rFonts w:ascii="ˎ̥" w:hAnsi="ˎ̥" w:cs="Helvetica"/>
          <w:color w:val="333333"/>
          <w:sz w:val="32"/>
          <w:szCs w:val="32"/>
          <w:lang/>
        </w:rPr>
        <w:t>”</w:t>
      </w:r>
      <w:r>
        <w:rPr>
          <w:rFonts w:ascii="ˎ̥" w:hAnsi="ˎ̥" w:cs="Helvetica"/>
          <w:color w:val="333333"/>
          <w:sz w:val="32"/>
          <w:szCs w:val="32"/>
          <w:lang/>
        </w:rPr>
        <w:t>实施</w:t>
      </w:r>
      <w:r>
        <w:rPr>
          <w:rFonts w:ascii="ˎ̥" w:hAnsi="ˎ̥" w:cs="Helvetica"/>
          <w:color w:val="333333"/>
          <w:sz w:val="32"/>
          <w:szCs w:val="32"/>
          <w:lang/>
        </w:rPr>
        <w:t>“</w:t>
      </w:r>
      <w:r>
        <w:rPr>
          <w:rFonts w:ascii="ˎ̥" w:hAnsi="ˎ̥" w:cs="Helvetica"/>
          <w:color w:val="333333"/>
          <w:sz w:val="32"/>
          <w:szCs w:val="32"/>
          <w:lang/>
        </w:rPr>
        <w:t>人才双十行动</w:t>
      </w:r>
      <w:r>
        <w:rPr>
          <w:rFonts w:ascii="ˎ̥" w:hAnsi="ˎ̥" w:cs="Helvetica"/>
          <w:color w:val="333333"/>
          <w:sz w:val="32"/>
          <w:szCs w:val="32"/>
          <w:lang/>
        </w:rPr>
        <w:t>”</w:t>
      </w:r>
      <w:r>
        <w:rPr>
          <w:rFonts w:ascii="ˎ̥" w:hAnsi="ˎ̥" w:cs="Helvetica"/>
          <w:color w:val="333333"/>
          <w:sz w:val="32"/>
          <w:szCs w:val="32"/>
          <w:lang/>
        </w:rPr>
        <w:t>意见》（惠市委发电〔</w:t>
      </w:r>
      <w:r>
        <w:rPr>
          <w:rFonts w:ascii="ˎ̥" w:hAnsi="ˎ̥" w:cs="Helvetica"/>
          <w:color w:val="333333"/>
          <w:sz w:val="32"/>
          <w:szCs w:val="32"/>
          <w:lang/>
        </w:rPr>
        <w:t>2016</w:t>
      </w:r>
      <w:r>
        <w:rPr>
          <w:rFonts w:ascii="ˎ̥" w:hAnsi="ˎ̥" w:cs="Helvetica"/>
          <w:color w:val="333333"/>
          <w:sz w:val="32"/>
          <w:szCs w:val="32"/>
          <w:lang/>
        </w:rPr>
        <w:t>〕</w:t>
      </w:r>
      <w:r>
        <w:rPr>
          <w:rFonts w:ascii="ˎ̥" w:hAnsi="ˎ̥" w:cs="Helvetica"/>
          <w:color w:val="333333"/>
          <w:sz w:val="32"/>
          <w:szCs w:val="32"/>
          <w:lang/>
        </w:rPr>
        <w:t>3</w:t>
      </w:r>
      <w:r>
        <w:rPr>
          <w:rFonts w:ascii="ˎ̥" w:hAnsi="ˎ̥" w:cs="Helvetica"/>
          <w:color w:val="333333"/>
          <w:sz w:val="32"/>
          <w:szCs w:val="32"/>
          <w:lang/>
        </w:rPr>
        <w:t>号）等相关文件的规定享受优惠政策。</w:t>
      </w:r>
    </w:p>
    <w:p w:rsidR="00000000" w:rsidRDefault="00DB4FE6">
      <w:pPr>
        <w:spacing w:line="600" w:lineRule="atLeast"/>
        <w:ind w:firstLine="656"/>
        <w:divId w:val="430515532"/>
        <w:rPr>
          <w:rFonts w:ascii="ˎ̥" w:hAnsi="ˎ̥" w:cs="Helvetica"/>
          <w:color w:val="333333"/>
          <w:sz w:val="19"/>
          <w:szCs w:val="19"/>
          <w:lang/>
        </w:rPr>
      </w:pPr>
      <w:r>
        <w:rPr>
          <w:rFonts w:ascii="ˎ̥" w:hAnsi="ˎ̥" w:cs="Helvetica"/>
          <w:color w:val="333333"/>
          <w:sz w:val="32"/>
          <w:szCs w:val="32"/>
          <w:lang/>
        </w:rPr>
        <w:t>（九）各县、区政府应根据实际情况对发展利用资本市场的当地企业给予适当奖励。享受市级奖励政策的企业，同时享受企业注册所在地县、区奖励政策。</w:t>
      </w:r>
    </w:p>
    <w:p w:rsidR="00000000" w:rsidRDefault="00DB4FE6">
      <w:pPr>
        <w:spacing w:line="600" w:lineRule="atLeast"/>
        <w:ind w:firstLine="656"/>
        <w:divId w:val="1878546027"/>
        <w:rPr>
          <w:rFonts w:ascii="ˎ̥" w:hAnsi="ˎ̥" w:cs="Helvetica"/>
          <w:color w:val="333333"/>
          <w:sz w:val="19"/>
          <w:szCs w:val="19"/>
          <w:lang/>
        </w:rPr>
      </w:pPr>
      <w:r>
        <w:rPr>
          <w:rFonts w:ascii="ˎ̥" w:hAnsi="ˎ̥" w:cs="Helvetica"/>
          <w:color w:val="333333"/>
          <w:sz w:val="32"/>
          <w:szCs w:val="32"/>
          <w:lang/>
        </w:rPr>
        <w:t>五、适用范围</w:t>
      </w:r>
    </w:p>
    <w:p w:rsidR="00000000" w:rsidRDefault="00DB4FE6">
      <w:pPr>
        <w:spacing w:line="600" w:lineRule="atLeast"/>
        <w:ind w:firstLine="656"/>
        <w:divId w:val="2017682767"/>
        <w:rPr>
          <w:rFonts w:ascii="ˎ̥" w:hAnsi="ˎ̥" w:cs="Helvetica"/>
          <w:color w:val="333333"/>
          <w:sz w:val="19"/>
          <w:szCs w:val="19"/>
          <w:lang/>
        </w:rPr>
      </w:pPr>
      <w:r>
        <w:rPr>
          <w:rFonts w:ascii="ˎ̥" w:hAnsi="ˎ̥" w:cs="Helvetica"/>
          <w:color w:val="333333"/>
          <w:sz w:val="32"/>
          <w:szCs w:val="32"/>
          <w:lang/>
        </w:rPr>
        <w:t>本实施意见适用于在惠州市辖区范围内注册登记的企业。</w:t>
      </w:r>
    </w:p>
    <w:p w:rsidR="00000000" w:rsidRDefault="00DB4FE6">
      <w:pPr>
        <w:spacing w:line="600" w:lineRule="atLeast"/>
        <w:ind w:firstLine="656"/>
        <w:divId w:val="968899693"/>
        <w:rPr>
          <w:rFonts w:ascii="ˎ̥" w:hAnsi="ˎ̥" w:cs="Helvetica"/>
          <w:color w:val="333333"/>
          <w:sz w:val="19"/>
          <w:szCs w:val="19"/>
          <w:lang/>
        </w:rPr>
      </w:pPr>
      <w:r>
        <w:rPr>
          <w:rFonts w:ascii="ˎ̥" w:hAnsi="ˎ̥" w:cs="Helvetica"/>
          <w:color w:val="333333"/>
          <w:sz w:val="32"/>
          <w:szCs w:val="32"/>
          <w:lang/>
        </w:rPr>
        <w:t>六、有效期</w:t>
      </w:r>
    </w:p>
    <w:p w:rsidR="00000000" w:rsidRDefault="00DB4FE6">
      <w:pPr>
        <w:spacing w:line="600" w:lineRule="atLeast"/>
        <w:ind w:firstLine="656"/>
        <w:divId w:val="833910789"/>
        <w:rPr>
          <w:rFonts w:ascii="ˎ̥" w:hAnsi="ˎ̥" w:cs="Helvetica"/>
          <w:color w:val="333333"/>
          <w:sz w:val="19"/>
          <w:szCs w:val="19"/>
          <w:lang/>
        </w:rPr>
      </w:pPr>
      <w:proofErr w:type="gramStart"/>
      <w:r>
        <w:rPr>
          <w:rFonts w:ascii="ˎ̥" w:hAnsi="ˎ̥" w:cs="Helvetica"/>
          <w:color w:val="333333"/>
          <w:sz w:val="32"/>
          <w:szCs w:val="32"/>
          <w:lang/>
        </w:rPr>
        <w:t>本意见自印发</w:t>
      </w:r>
      <w:proofErr w:type="gramEnd"/>
      <w:r>
        <w:rPr>
          <w:rFonts w:ascii="ˎ̥" w:hAnsi="ˎ̥" w:cs="Helvetica"/>
          <w:color w:val="333333"/>
          <w:sz w:val="32"/>
          <w:szCs w:val="32"/>
          <w:lang/>
        </w:rPr>
        <w:t>之日起施行，有效期</w:t>
      </w:r>
      <w:r>
        <w:rPr>
          <w:rFonts w:ascii="ˎ̥" w:hAnsi="ˎ̥" w:cs="Helvetica"/>
          <w:color w:val="333333"/>
          <w:sz w:val="32"/>
          <w:szCs w:val="32"/>
          <w:lang/>
        </w:rPr>
        <w:t>5</w:t>
      </w:r>
      <w:r>
        <w:rPr>
          <w:rFonts w:ascii="ˎ̥" w:hAnsi="ˎ̥" w:cs="Helvetica"/>
          <w:color w:val="333333"/>
          <w:sz w:val="32"/>
          <w:szCs w:val="32"/>
          <w:lang/>
        </w:rPr>
        <w:t>年。原《惠州市人民政府关于惠州市发展资本市场的实施意见》（</w:t>
      </w:r>
      <w:proofErr w:type="gramStart"/>
      <w:r>
        <w:rPr>
          <w:rFonts w:ascii="ˎ̥" w:hAnsi="ˎ̥" w:cs="Helvetica"/>
          <w:color w:val="333333"/>
          <w:sz w:val="32"/>
          <w:szCs w:val="32"/>
          <w:lang/>
        </w:rPr>
        <w:t>惠府〔</w:t>
      </w:r>
      <w:r>
        <w:rPr>
          <w:rFonts w:ascii="ˎ̥" w:hAnsi="ˎ̥" w:cs="Helvetica"/>
          <w:color w:val="333333"/>
          <w:sz w:val="32"/>
          <w:szCs w:val="32"/>
          <w:lang/>
        </w:rPr>
        <w:t>2014</w:t>
      </w:r>
      <w:r>
        <w:rPr>
          <w:rFonts w:ascii="ˎ̥" w:hAnsi="ˎ̥" w:cs="Helvetica"/>
          <w:color w:val="333333"/>
          <w:sz w:val="32"/>
          <w:szCs w:val="32"/>
          <w:lang/>
        </w:rPr>
        <w:t>〕</w:t>
      </w:r>
      <w:proofErr w:type="gramEnd"/>
      <w:r>
        <w:rPr>
          <w:rFonts w:ascii="ˎ̥" w:hAnsi="ˎ̥" w:cs="Helvetica"/>
          <w:color w:val="333333"/>
          <w:sz w:val="32"/>
          <w:szCs w:val="32"/>
          <w:lang/>
        </w:rPr>
        <w:t>25</w:t>
      </w:r>
      <w:r>
        <w:rPr>
          <w:rFonts w:ascii="ˎ̥" w:hAnsi="ˎ̥" w:cs="Helvetica"/>
          <w:color w:val="333333"/>
          <w:sz w:val="32"/>
          <w:szCs w:val="32"/>
          <w:lang/>
        </w:rPr>
        <w:t>号）停止执行。</w:t>
      </w:r>
    </w:p>
    <w:p w:rsidR="00000000" w:rsidRDefault="00DB4FE6">
      <w:pPr>
        <w:spacing w:line="600" w:lineRule="atLeast"/>
        <w:divId w:val="2030181892"/>
        <w:rPr>
          <w:rFonts w:ascii="ˎ̥" w:hAnsi="ˎ̥" w:cs="Helvetica"/>
          <w:color w:val="333333"/>
          <w:sz w:val="19"/>
          <w:szCs w:val="19"/>
          <w:lang/>
        </w:rPr>
      </w:pPr>
      <w:r>
        <w:rPr>
          <w:rFonts w:ascii="ˎ̥" w:hAnsi="ˎ̥" w:cs="Helvetica"/>
          <w:color w:val="333333"/>
          <w:sz w:val="19"/>
          <w:szCs w:val="19"/>
          <w:lang/>
        </w:rPr>
        <w:t> </w:t>
      </w:r>
    </w:p>
    <w:p w:rsidR="00000000" w:rsidRDefault="00DB4FE6">
      <w:pPr>
        <w:spacing w:line="600" w:lineRule="atLeast"/>
        <w:divId w:val="2030181892"/>
        <w:rPr>
          <w:rFonts w:ascii="ˎ̥" w:hAnsi="ˎ̥" w:cs="Helvetica"/>
          <w:color w:val="333333"/>
          <w:sz w:val="19"/>
          <w:szCs w:val="19"/>
          <w:lang/>
        </w:rPr>
      </w:pPr>
      <w:r>
        <w:rPr>
          <w:rFonts w:ascii="ˎ̥" w:hAnsi="ˎ̥" w:cs="Helvetica"/>
          <w:color w:val="333333"/>
          <w:sz w:val="19"/>
          <w:szCs w:val="19"/>
          <w:lang/>
        </w:rPr>
        <w:t> </w:t>
      </w:r>
    </w:p>
    <w:p w:rsidR="00000000" w:rsidRDefault="00DB4FE6">
      <w:pPr>
        <w:spacing w:line="600" w:lineRule="atLeast"/>
        <w:divId w:val="2030181892"/>
        <w:rPr>
          <w:rFonts w:ascii="ˎ̥" w:hAnsi="ˎ̥" w:cs="Helvetica"/>
          <w:color w:val="333333"/>
          <w:sz w:val="19"/>
          <w:szCs w:val="19"/>
          <w:lang/>
        </w:rPr>
      </w:pPr>
      <w:r>
        <w:rPr>
          <w:rFonts w:ascii="ˎ̥" w:hAnsi="ˎ̥" w:cs="Helvetica"/>
          <w:color w:val="333333"/>
          <w:sz w:val="19"/>
          <w:szCs w:val="19"/>
          <w:lang/>
        </w:rPr>
        <w:t> </w:t>
      </w:r>
    </w:p>
    <w:p w:rsidR="00000000" w:rsidRDefault="00DB4FE6">
      <w:pPr>
        <w:spacing w:line="600" w:lineRule="atLeast"/>
        <w:jc w:val="right"/>
        <w:divId w:val="1982416802"/>
        <w:rPr>
          <w:rFonts w:ascii="ˎ̥" w:hAnsi="ˎ̥" w:cs="Helvetica"/>
          <w:color w:val="333333"/>
          <w:sz w:val="19"/>
          <w:szCs w:val="19"/>
          <w:lang/>
        </w:rPr>
      </w:pPr>
      <w:r>
        <w:rPr>
          <w:rFonts w:ascii="ˎ̥" w:hAnsi="ˎ̥" w:cs="Helvetica"/>
          <w:color w:val="333333"/>
          <w:sz w:val="32"/>
          <w:szCs w:val="32"/>
          <w:lang/>
        </w:rPr>
        <w:t>惠州市人民政府</w:t>
      </w:r>
    </w:p>
    <w:p w:rsidR="00000000" w:rsidRDefault="00DB4FE6">
      <w:pPr>
        <w:spacing w:line="600" w:lineRule="atLeast"/>
        <w:jc w:val="right"/>
        <w:divId w:val="575436321"/>
        <w:rPr>
          <w:rFonts w:ascii="ˎ̥" w:hAnsi="ˎ̥" w:cs="Helvetica" w:hint="eastAsia"/>
          <w:color w:val="333333"/>
          <w:sz w:val="19"/>
          <w:szCs w:val="19"/>
          <w:lang/>
        </w:rPr>
      </w:pPr>
      <w:r>
        <w:rPr>
          <w:rFonts w:ascii="ˎ̥" w:hAnsi="ˎ̥" w:cs="Helvetica"/>
          <w:color w:val="333333"/>
          <w:sz w:val="32"/>
          <w:szCs w:val="32"/>
          <w:lang/>
        </w:rPr>
        <w:t>2017</w:t>
      </w:r>
      <w:r>
        <w:rPr>
          <w:rFonts w:ascii="ˎ̥" w:hAnsi="ˎ̥" w:cs="Helvetica"/>
          <w:color w:val="333333"/>
          <w:sz w:val="32"/>
          <w:szCs w:val="32"/>
          <w:lang/>
        </w:rPr>
        <w:t>年</w:t>
      </w:r>
      <w:r>
        <w:rPr>
          <w:rFonts w:ascii="ˎ̥" w:hAnsi="ˎ̥" w:cs="Helvetica"/>
          <w:color w:val="333333"/>
          <w:sz w:val="32"/>
          <w:szCs w:val="32"/>
          <w:lang/>
        </w:rPr>
        <w:t>12</w:t>
      </w:r>
      <w:r>
        <w:rPr>
          <w:rFonts w:ascii="ˎ̥" w:hAnsi="ˎ̥" w:cs="Helvetica"/>
          <w:color w:val="333333"/>
          <w:sz w:val="32"/>
          <w:szCs w:val="32"/>
          <w:lang/>
        </w:rPr>
        <w:t>月</w:t>
      </w:r>
      <w:r>
        <w:rPr>
          <w:rFonts w:ascii="ˎ̥" w:hAnsi="ˎ̥" w:cs="Helvetica"/>
          <w:color w:val="333333"/>
          <w:sz w:val="32"/>
          <w:szCs w:val="32"/>
          <w:lang/>
        </w:rPr>
        <w:t>29</w:t>
      </w:r>
      <w:r>
        <w:rPr>
          <w:rFonts w:ascii="ˎ̥" w:hAnsi="ˎ̥" w:cs="Helvetica"/>
          <w:color w:val="333333"/>
          <w:sz w:val="32"/>
          <w:szCs w:val="32"/>
          <w:lang/>
        </w:rPr>
        <w:t>日</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compat>
    <w:useFELayout/>
  </w:compat>
  <w:rsids>
    <w:rsidRoot w:val="004F570D"/>
    <w:rsid w:val="004F570D"/>
    <w:rsid w:val="00DB4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sz w:val="22"/>
      <w:szCs w:val="22"/>
    </w:rPr>
  </w:style>
  <w:style w:type="paragraph" w:styleId="2">
    <w:name w:val="heading 2"/>
    <w:basedOn w:val="a"/>
    <w:link w:val="2Char"/>
    <w:uiPriority w:val="9"/>
    <w:qFormat/>
    <w:pPr>
      <w:spacing w:before="100" w:beforeAutospacing="1" w:after="100" w:afterAutospacing="1"/>
      <w:outlineLvl w:val="1"/>
    </w:pPr>
    <w:rPr>
      <w:sz w:val="20"/>
      <w:szCs w:val="20"/>
    </w:rPr>
  </w:style>
  <w:style w:type="paragraph" w:styleId="3">
    <w:name w:val="heading 3"/>
    <w:basedOn w:val="a"/>
    <w:link w:val="3Char"/>
    <w:uiPriority w:val="9"/>
    <w:qFormat/>
    <w:pPr>
      <w:spacing w:before="100" w:beforeAutospacing="1" w:after="100" w:afterAutospacing="1"/>
      <w:outlineLvl w:val="2"/>
    </w:pPr>
    <w:rPr>
      <w:sz w:val="19"/>
      <w:szCs w:val="19"/>
    </w:rPr>
  </w:style>
  <w:style w:type="paragraph" w:styleId="4">
    <w:name w:val="heading 4"/>
    <w:basedOn w:val="a"/>
    <w:link w:val="4Char"/>
    <w:uiPriority w:val="9"/>
    <w:qFormat/>
    <w:pPr>
      <w:spacing w:before="100" w:beforeAutospacing="1" w:after="100" w:afterAutospacing="1"/>
      <w:outlineLvl w:val="3"/>
    </w:pPr>
    <w:rPr>
      <w:sz w:val="19"/>
      <w:szCs w:val="19"/>
    </w:rPr>
  </w:style>
  <w:style w:type="paragraph" w:styleId="5">
    <w:name w:val="heading 5"/>
    <w:basedOn w:val="a"/>
    <w:link w:val="5Char"/>
    <w:uiPriority w:val="9"/>
    <w:qFormat/>
    <w:pPr>
      <w:spacing w:before="100" w:beforeAutospacing="1" w:after="100" w:afterAutospacing="1"/>
      <w:outlineLvl w:val="4"/>
    </w:pPr>
    <w:rPr>
      <w:color w:val="8F8F94"/>
      <w:sz w:val="17"/>
      <w:szCs w:val="17"/>
    </w:rPr>
  </w:style>
  <w:style w:type="paragraph" w:styleId="6">
    <w:name w:val="heading 6"/>
    <w:basedOn w:val="a"/>
    <w:link w:val="6Char"/>
    <w:uiPriority w:val="9"/>
    <w:qFormat/>
    <w:pPr>
      <w:spacing w:before="100" w:beforeAutospacing="1" w:after="100" w:afterAutospacing="1"/>
      <w:outlineLvl w:val="5"/>
    </w:pPr>
    <w:rPr>
      <w:color w:val="8F8F94"/>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shd w:val="clear" w:color="auto" w:fill="auto"/>
    </w:rPr>
  </w:style>
  <w:style w:type="character" w:styleId="a4">
    <w:name w:val="FollowedHyperlink"/>
    <w:basedOn w:val="a0"/>
    <w:uiPriority w:val="99"/>
    <w:semiHidden/>
    <w:unhideWhenUsed/>
    <w:rPr>
      <w:strike w:val="0"/>
      <w:dstrike w:val="0"/>
      <w:color w:val="666666"/>
      <w:u w:val="none"/>
      <w:effect w:val="none"/>
      <w:shd w:val="clear" w:color="auto" w:fill="auto"/>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semiHidden/>
    <w:unhideWhenUsed/>
  </w:style>
  <w:style w:type="paragraph" w:customStyle="1" w:styleId="vertical-middle">
    <w:name w:val="vertical-middle"/>
    <w:basedOn w:val="a"/>
    <w:pPr>
      <w:textAlignment w:val="center"/>
    </w:pPr>
  </w:style>
  <w:style w:type="paragraph" w:customStyle="1" w:styleId="display-block">
    <w:name w:val="display-block"/>
    <w:basedOn w:val="a"/>
  </w:style>
  <w:style w:type="paragraph" w:customStyle="1" w:styleId="col-item-1">
    <w:name w:val="col-item-1"/>
    <w:basedOn w:val="a"/>
  </w:style>
  <w:style w:type="paragraph" w:customStyle="1" w:styleId="col-item-2">
    <w:name w:val="col-item-2"/>
    <w:basedOn w:val="a"/>
  </w:style>
  <w:style w:type="paragraph" w:customStyle="1" w:styleId="col-item-3">
    <w:name w:val="col-item-3"/>
    <w:basedOn w:val="a"/>
  </w:style>
  <w:style w:type="paragraph" w:customStyle="1" w:styleId="col-item-4">
    <w:name w:val="col-item-4"/>
    <w:basedOn w:val="a"/>
  </w:style>
  <w:style w:type="paragraph" w:customStyle="1" w:styleId="col-item-5">
    <w:name w:val="col-item-5"/>
    <w:basedOn w:val="a"/>
  </w:style>
  <w:style w:type="paragraph" w:customStyle="1" w:styleId="col-item-6">
    <w:name w:val="col-item-6"/>
    <w:basedOn w:val="a"/>
  </w:style>
  <w:style w:type="paragraph" w:customStyle="1" w:styleId="col-item-7">
    <w:name w:val="col-item-7"/>
    <w:basedOn w:val="a"/>
  </w:style>
  <w:style w:type="paragraph" w:customStyle="1" w:styleId="col-item-8">
    <w:name w:val="col-item-8"/>
    <w:basedOn w:val="a"/>
  </w:style>
  <w:style w:type="paragraph" w:customStyle="1" w:styleId="col-item-9">
    <w:name w:val="col-item-9"/>
    <w:basedOn w:val="a"/>
  </w:style>
  <w:style w:type="paragraph" w:customStyle="1" w:styleId="col-item-10">
    <w:name w:val="col-item-10"/>
    <w:basedOn w:val="a"/>
  </w:style>
  <w:style w:type="paragraph" w:customStyle="1" w:styleId="col-item-11">
    <w:name w:val="col-item-11"/>
    <w:basedOn w:val="a"/>
  </w:style>
  <w:style w:type="paragraph" w:customStyle="1" w:styleId="col-item-12">
    <w:name w:val="col-item-12"/>
    <w:basedOn w:val="a"/>
  </w:style>
  <w:style w:type="paragraph" w:customStyle="1" w:styleId="flex-offset-1">
    <w:name w:val="flex-offset-1"/>
    <w:basedOn w:val="a"/>
    <w:pPr>
      <w:ind w:left="952"/>
    </w:pPr>
  </w:style>
  <w:style w:type="paragraph" w:customStyle="1" w:styleId="flex-offset-2">
    <w:name w:val="flex-offset-2"/>
    <w:basedOn w:val="a"/>
    <w:pPr>
      <w:ind w:left="1904"/>
    </w:pPr>
  </w:style>
  <w:style w:type="paragraph" w:customStyle="1" w:styleId="flex-offset-3">
    <w:name w:val="flex-offset-3"/>
    <w:basedOn w:val="a"/>
    <w:pPr>
      <w:ind w:left="2976"/>
    </w:pPr>
  </w:style>
  <w:style w:type="paragraph" w:customStyle="1" w:styleId="flex-offset-4">
    <w:name w:val="flex-offset-4"/>
    <w:basedOn w:val="a"/>
    <w:pPr>
      <w:ind w:left="3928"/>
    </w:pPr>
  </w:style>
  <w:style w:type="paragraph" w:customStyle="1" w:styleId="flex-offset-5">
    <w:name w:val="flex-offset-5"/>
    <w:basedOn w:val="a"/>
    <w:pPr>
      <w:ind w:left="4881"/>
    </w:pPr>
  </w:style>
  <w:style w:type="paragraph" w:customStyle="1" w:styleId="flex-offset-6">
    <w:name w:val="flex-offset-6"/>
    <w:basedOn w:val="a"/>
    <w:pPr>
      <w:ind w:left="5953"/>
    </w:pPr>
  </w:style>
  <w:style w:type="paragraph" w:customStyle="1" w:styleId="flex-offset-7">
    <w:name w:val="flex-offset-7"/>
    <w:basedOn w:val="a"/>
    <w:pPr>
      <w:ind w:left="6905"/>
    </w:pPr>
  </w:style>
  <w:style w:type="paragraph" w:customStyle="1" w:styleId="flex-offset-8">
    <w:name w:val="flex-offset-8"/>
    <w:basedOn w:val="a"/>
    <w:pPr>
      <w:ind w:left="7857"/>
    </w:pPr>
  </w:style>
  <w:style w:type="paragraph" w:customStyle="1" w:styleId="flex-offset-9">
    <w:name w:val="flex-offset-9"/>
    <w:basedOn w:val="a"/>
    <w:pPr>
      <w:ind w:left="8929"/>
    </w:pPr>
  </w:style>
  <w:style w:type="paragraph" w:customStyle="1" w:styleId="flex-offset-10">
    <w:name w:val="flex-offset-10"/>
    <w:basedOn w:val="a"/>
    <w:pPr>
      <w:ind w:left="9881"/>
    </w:pPr>
  </w:style>
  <w:style w:type="paragraph" w:customStyle="1" w:styleId="flex-offset-11">
    <w:name w:val="flex-offset-11"/>
    <w:basedOn w:val="a"/>
    <w:pPr>
      <w:ind w:left="10834"/>
    </w:pPr>
  </w:style>
  <w:style w:type="paragraph" w:customStyle="1" w:styleId="flex-offset-12">
    <w:name w:val="flex-offset-12"/>
    <w:basedOn w:val="a"/>
    <w:pPr>
      <w:ind w:left="11906"/>
    </w:pPr>
  </w:style>
  <w:style w:type="paragraph" w:customStyle="1" w:styleId="clearfix">
    <w:name w:val="clearfix"/>
    <w:basedOn w:val="a"/>
  </w:style>
  <w:style w:type="paragraph" w:customStyle="1" w:styleId="text-center">
    <w:name w:val="text-center"/>
    <w:basedOn w:val="a"/>
    <w:pPr>
      <w:jc w:val="center"/>
    </w:pPr>
  </w:style>
  <w:style w:type="paragraph" w:customStyle="1" w:styleId="text-left">
    <w:name w:val="text-left"/>
    <w:basedOn w:val="a"/>
  </w:style>
  <w:style w:type="paragraph" w:customStyle="1" w:styleId="text-right">
    <w:name w:val="text-right"/>
    <w:basedOn w:val="a"/>
    <w:pPr>
      <w:jc w:val="right"/>
    </w:pPr>
  </w:style>
  <w:style w:type="paragraph" w:customStyle="1" w:styleId="ellipsis-1">
    <w:name w:val="ellipsis-1"/>
    <w:basedOn w:val="a"/>
  </w:style>
  <w:style w:type="paragraph" w:customStyle="1" w:styleId="none-border">
    <w:name w:val="none-border"/>
    <w:basedOn w:val="a"/>
  </w:style>
  <w:style w:type="paragraph" w:customStyle="1" w:styleId="none-text-decoration">
    <w:name w:val="none-text-decoration"/>
    <w:basedOn w:val="a"/>
  </w:style>
  <w:style w:type="paragraph" w:customStyle="1" w:styleId="text-underline">
    <w:name w:val="text-underline"/>
    <w:basedOn w:val="a"/>
    <w:rPr>
      <w:u w:val="single"/>
    </w:rPr>
  </w:style>
  <w:style w:type="paragraph" w:customStyle="1" w:styleId="center-block">
    <w:name w:val="center-block"/>
    <w:basedOn w:val="a"/>
  </w:style>
  <w:style w:type="paragraph" w:customStyle="1" w:styleId="margin-0">
    <w:name w:val="margin-0"/>
    <w:basedOn w:val="a"/>
  </w:style>
  <w:style w:type="paragraph" w:customStyle="1" w:styleId="margin-5">
    <w:name w:val="margin-5"/>
    <w:basedOn w:val="a"/>
    <w:pPr>
      <w:spacing w:before="60" w:after="60"/>
      <w:ind w:left="60" w:right="60"/>
    </w:pPr>
  </w:style>
  <w:style w:type="paragraph" w:customStyle="1" w:styleId="margin-10">
    <w:name w:val="margin-10"/>
    <w:basedOn w:val="a"/>
    <w:pPr>
      <w:spacing w:before="120" w:after="120"/>
      <w:ind w:left="120" w:right="120"/>
    </w:pPr>
  </w:style>
  <w:style w:type="paragraph" w:customStyle="1" w:styleId="margin-15">
    <w:name w:val="margin-15"/>
    <w:basedOn w:val="a"/>
    <w:pPr>
      <w:spacing w:before="180" w:after="180"/>
      <w:ind w:left="180" w:right="180"/>
    </w:pPr>
  </w:style>
  <w:style w:type="paragraph" w:customStyle="1" w:styleId="margin-t-0">
    <w:name w:val="margin-t-0"/>
    <w:basedOn w:val="a"/>
  </w:style>
  <w:style w:type="paragraph" w:customStyle="1" w:styleId="margin-t-5">
    <w:name w:val="margin-t-5"/>
    <w:basedOn w:val="a"/>
    <w:pPr>
      <w:spacing w:before="60"/>
    </w:pPr>
  </w:style>
  <w:style w:type="paragraph" w:customStyle="1" w:styleId="margin-t-10">
    <w:name w:val="margin-t-10"/>
    <w:basedOn w:val="a"/>
    <w:pPr>
      <w:spacing w:before="120"/>
    </w:pPr>
  </w:style>
  <w:style w:type="paragraph" w:customStyle="1" w:styleId="margin-t-15">
    <w:name w:val="margin-t-15"/>
    <w:basedOn w:val="a"/>
    <w:pPr>
      <w:spacing w:before="180"/>
    </w:pPr>
  </w:style>
  <w:style w:type="paragraph" w:customStyle="1" w:styleId="margin-l-0">
    <w:name w:val="margin-l-0"/>
    <w:basedOn w:val="a"/>
  </w:style>
  <w:style w:type="paragraph" w:customStyle="1" w:styleId="margin-l-5">
    <w:name w:val="margin-l-5"/>
    <w:basedOn w:val="a"/>
    <w:pPr>
      <w:ind w:left="60"/>
    </w:pPr>
  </w:style>
  <w:style w:type="paragraph" w:customStyle="1" w:styleId="margin-l-10">
    <w:name w:val="margin-l-10"/>
    <w:basedOn w:val="a"/>
    <w:pPr>
      <w:ind w:left="120"/>
    </w:pPr>
  </w:style>
  <w:style w:type="paragraph" w:customStyle="1" w:styleId="margin-l-15">
    <w:name w:val="margin-l-15"/>
    <w:basedOn w:val="a"/>
    <w:pPr>
      <w:ind w:left="180"/>
    </w:pPr>
  </w:style>
  <w:style w:type="paragraph" w:customStyle="1" w:styleId="margin-r-0">
    <w:name w:val="margin-r-0"/>
    <w:basedOn w:val="a"/>
  </w:style>
  <w:style w:type="paragraph" w:customStyle="1" w:styleId="margin-r-5">
    <w:name w:val="margin-r-5"/>
    <w:basedOn w:val="a"/>
    <w:pPr>
      <w:ind w:right="60"/>
    </w:pPr>
  </w:style>
  <w:style w:type="paragraph" w:customStyle="1" w:styleId="margin-r-10">
    <w:name w:val="margin-r-10"/>
    <w:basedOn w:val="a"/>
    <w:pPr>
      <w:ind w:right="120"/>
    </w:pPr>
  </w:style>
  <w:style w:type="paragraph" w:customStyle="1" w:styleId="margin-r-15">
    <w:name w:val="margin-r-15"/>
    <w:basedOn w:val="a"/>
    <w:pPr>
      <w:ind w:right="180"/>
    </w:pPr>
  </w:style>
  <w:style w:type="paragraph" w:customStyle="1" w:styleId="margin-b-0">
    <w:name w:val="margin-b-0"/>
    <w:basedOn w:val="a"/>
  </w:style>
  <w:style w:type="paragraph" w:customStyle="1" w:styleId="margin-b-5">
    <w:name w:val="margin-b-5"/>
    <w:basedOn w:val="a"/>
    <w:pPr>
      <w:spacing w:after="60"/>
    </w:pPr>
  </w:style>
  <w:style w:type="paragraph" w:customStyle="1" w:styleId="margin-b-10">
    <w:name w:val="margin-b-10"/>
    <w:basedOn w:val="a"/>
    <w:pPr>
      <w:spacing w:after="120"/>
    </w:pPr>
  </w:style>
  <w:style w:type="paragraph" w:customStyle="1" w:styleId="margin-b-15">
    <w:name w:val="margin-b-15"/>
    <w:basedOn w:val="a"/>
    <w:pPr>
      <w:spacing w:after="180"/>
    </w:pPr>
  </w:style>
  <w:style w:type="paragraph" w:customStyle="1" w:styleId="padded-5">
    <w:name w:val="padded-5"/>
    <w:basedOn w:val="a"/>
  </w:style>
  <w:style w:type="paragraph" w:customStyle="1" w:styleId="padded-10">
    <w:name w:val="padded-10"/>
    <w:basedOn w:val="a"/>
  </w:style>
  <w:style w:type="paragraph" w:customStyle="1" w:styleId="padded-15">
    <w:name w:val="padded-15"/>
    <w:basedOn w:val="a"/>
  </w:style>
  <w:style w:type="paragraph" w:customStyle="1" w:styleId="padded-t-0">
    <w:name w:val="padded-t-0"/>
    <w:basedOn w:val="a"/>
  </w:style>
  <w:style w:type="paragraph" w:customStyle="1" w:styleId="padded-t-5">
    <w:name w:val="padded-t-5"/>
    <w:basedOn w:val="a"/>
  </w:style>
  <w:style w:type="paragraph" w:customStyle="1" w:styleId="padded-t-10">
    <w:name w:val="padded-t-10"/>
    <w:basedOn w:val="a"/>
  </w:style>
  <w:style w:type="paragraph" w:customStyle="1" w:styleId="padded-t-15">
    <w:name w:val="padded-t-15"/>
    <w:basedOn w:val="a"/>
  </w:style>
  <w:style w:type="paragraph" w:customStyle="1" w:styleId="padded-l-5">
    <w:name w:val="padded-l-5"/>
    <w:basedOn w:val="a"/>
  </w:style>
  <w:style w:type="paragraph" w:customStyle="1" w:styleId="padded-l-10">
    <w:name w:val="padded-l-10"/>
    <w:basedOn w:val="a"/>
  </w:style>
  <w:style w:type="paragraph" w:customStyle="1" w:styleId="padded-l-15">
    <w:name w:val="padded-l-15"/>
    <w:basedOn w:val="a"/>
  </w:style>
  <w:style w:type="paragraph" w:customStyle="1" w:styleId="padded-r-5">
    <w:name w:val="padded-r-5"/>
    <w:basedOn w:val="a"/>
  </w:style>
  <w:style w:type="paragraph" w:customStyle="1" w:styleId="padded-r-10">
    <w:name w:val="padded-r-10"/>
    <w:basedOn w:val="a"/>
  </w:style>
  <w:style w:type="paragraph" w:customStyle="1" w:styleId="padded-r-15">
    <w:name w:val="padded-r-15"/>
    <w:basedOn w:val="a"/>
  </w:style>
  <w:style w:type="paragraph" w:customStyle="1" w:styleId="padded-b-5">
    <w:name w:val="padded-b-5"/>
    <w:basedOn w:val="a"/>
  </w:style>
  <w:style w:type="paragraph" w:customStyle="1" w:styleId="padded-b-10">
    <w:name w:val="padded-b-10"/>
    <w:basedOn w:val="a"/>
  </w:style>
  <w:style w:type="paragraph" w:customStyle="1" w:styleId="padded-b-15">
    <w:name w:val="padded-b-15"/>
    <w:basedOn w:val="a"/>
  </w:style>
  <w:style w:type="paragraph" w:customStyle="1" w:styleId="m-linethrough">
    <w:name w:val="m-linethrough"/>
    <w:basedOn w:val="a"/>
    <w:rPr>
      <w:strike/>
    </w:rPr>
  </w:style>
  <w:style w:type="paragraph" w:customStyle="1" w:styleId="m-bg-dark">
    <w:name w:val="m-bg-dark"/>
    <w:basedOn w:val="a"/>
    <w:pPr>
      <w:shd w:val="clear" w:color="auto" w:fill="EEEEEE"/>
    </w:pPr>
  </w:style>
  <w:style w:type="paragraph" w:customStyle="1" w:styleId="vertical-bar-yellow">
    <w:name w:val="vertical-bar-yellow"/>
    <w:basedOn w:val="a"/>
  </w:style>
  <w:style w:type="paragraph" w:customStyle="1" w:styleId="m-nav-bg">
    <w:name w:val="m-nav-bg"/>
    <w:basedOn w:val="a"/>
  </w:style>
  <w:style w:type="paragraph" w:customStyle="1" w:styleId="ranklist-bg">
    <w:name w:val="ranklist-bg"/>
    <w:basedOn w:val="a"/>
  </w:style>
  <w:style w:type="paragraph" w:customStyle="1" w:styleId="m-welcome-bolck">
    <w:name w:val="m-welcome-bolck"/>
    <w:basedOn w:val="a"/>
  </w:style>
  <w:style w:type="paragraph" w:customStyle="1" w:styleId="m-welcome-title">
    <w:name w:val="m-welcome-title"/>
    <w:basedOn w:val="a"/>
  </w:style>
  <w:style w:type="paragraph" w:customStyle="1" w:styleId="m-history-content">
    <w:name w:val="m-history-content"/>
    <w:basedOn w:val="a"/>
  </w:style>
  <w:style w:type="paragraph" w:customStyle="1" w:styleId="text-white">
    <w:name w:val="text-white"/>
    <w:basedOn w:val="a"/>
    <w:rPr>
      <w:color w:val="FFFFFF"/>
    </w:rPr>
  </w:style>
  <w:style w:type="paragraph" w:customStyle="1" w:styleId="text-yellow">
    <w:name w:val="text-yellow"/>
    <w:basedOn w:val="a"/>
    <w:rPr>
      <w:color w:val="FFDD00"/>
    </w:rPr>
  </w:style>
  <w:style w:type="paragraph" w:customStyle="1" w:styleId="text-danger">
    <w:name w:val="text-danger"/>
    <w:basedOn w:val="a"/>
    <w:rPr>
      <w:color w:val="FF0000"/>
    </w:rPr>
  </w:style>
  <w:style w:type="paragraph" w:customStyle="1" w:styleId="text-grey">
    <w:name w:val="text-grey"/>
    <w:basedOn w:val="a"/>
    <w:rPr>
      <w:color w:val="9D9D9D"/>
    </w:rPr>
  </w:style>
  <w:style w:type="paragraph" w:customStyle="1" w:styleId="bg-yellow">
    <w:name w:val="bg-yellow"/>
    <w:basedOn w:val="a"/>
    <w:pPr>
      <w:shd w:val="clear" w:color="auto" w:fill="FFDD00"/>
    </w:pPr>
  </w:style>
  <w:style w:type="paragraph" w:customStyle="1" w:styleId="bg-grey">
    <w:name w:val="bg-grey"/>
    <w:basedOn w:val="a"/>
    <w:pPr>
      <w:shd w:val="clear" w:color="auto" w:fill="F5F5F5"/>
    </w:pPr>
  </w:style>
  <w:style w:type="paragraph" w:customStyle="1" w:styleId="bg-orange">
    <w:name w:val="bg-orange"/>
    <w:basedOn w:val="a"/>
    <w:pPr>
      <w:shd w:val="clear" w:color="auto" w:fill="FF6600"/>
    </w:pPr>
  </w:style>
  <w:style w:type="paragraph" w:customStyle="1" w:styleId="bg-blue">
    <w:name w:val="bg-blue"/>
    <w:basedOn w:val="a"/>
    <w:pPr>
      <w:shd w:val="clear" w:color="auto" w:fill="0498BD"/>
    </w:pPr>
  </w:style>
  <w:style w:type="paragraph" w:customStyle="1" w:styleId="bg-blue2">
    <w:name w:val="bg-blue2"/>
    <w:basedOn w:val="a"/>
    <w:pPr>
      <w:shd w:val="clear" w:color="auto" w:fill="2281D5"/>
    </w:pPr>
  </w:style>
  <w:style w:type="paragraph" w:customStyle="1" w:styleId="bg-red">
    <w:name w:val="bg-red"/>
    <w:basedOn w:val="a"/>
    <w:pPr>
      <w:shd w:val="clear" w:color="auto" w:fill="E24444"/>
    </w:pPr>
  </w:style>
  <w:style w:type="paragraph" w:customStyle="1" w:styleId="bg-pink">
    <w:name w:val="bg-pink"/>
    <w:basedOn w:val="a"/>
    <w:pPr>
      <w:shd w:val="clear" w:color="auto" w:fill="FF9999"/>
    </w:pPr>
  </w:style>
  <w:style w:type="paragraph" w:customStyle="1" w:styleId="bg-lightgreen">
    <w:name w:val="bg-lightgreen"/>
    <w:basedOn w:val="a"/>
    <w:pPr>
      <w:shd w:val="clear" w:color="auto" w:fill="66CCCC"/>
    </w:pPr>
  </w:style>
  <w:style w:type="paragraph" w:customStyle="1" w:styleId="bg-grassgreen">
    <w:name w:val="bg-grassgreen"/>
    <w:basedOn w:val="a"/>
    <w:pPr>
      <w:shd w:val="clear" w:color="auto" w:fill="ACC142"/>
    </w:pPr>
  </w:style>
  <w:style w:type="paragraph" w:customStyle="1" w:styleId="bg-orangeyellow">
    <w:name w:val="bg-orangeyellow"/>
    <w:basedOn w:val="a"/>
    <w:pPr>
      <w:shd w:val="clear" w:color="auto" w:fill="FD9944"/>
    </w:pPr>
  </w:style>
  <w:style w:type="paragraph" w:customStyle="1" w:styleId="bg-skyblue">
    <w:name w:val="bg-skyblue"/>
    <w:basedOn w:val="a"/>
    <w:pPr>
      <w:shd w:val="clear" w:color="auto" w:fill="E6F2FF"/>
    </w:pPr>
  </w:style>
  <w:style w:type="paragraph" w:customStyle="1" w:styleId="border-l">
    <w:name w:val="border-l"/>
    <w:basedOn w:val="a"/>
    <w:pPr>
      <w:pBdr>
        <w:left w:val="single" w:sz="12" w:space="0" w:color="666666"/>
      </w:pBdr>
    </w:pPr>
  </w:style>
  <w:style w:type="paragraph" w:customStyle="1" w:styleId="border-1">
    <w:name w:val="border-1"/>
    <w:basedOn w:val="a"/>
    <w:pPr>
      <w:pBdr>
        <w:top w:val="single" w:sz="4" w:space="0" w:color="D1D1D1"/>
        <w:left w:val="single" w:sz="4" w:space="0" w:color="D1D1D1"/>
        <w:bottom w:val="single" w:sz="4" w:space="0" w:color="D1D1D1"/>
        <w:right w:val="single" w:sz="4" w:space="0" w:color="D1D1D1"/>
      </w:pBdr>
    </w:pPr>
  </w:style>
  <w:style w:type="paragraph" w:customStyle="1" w:styleId="newslist">
    <w:name w:val="news_list"/>
    <w:basedOn w:val="a"/>
    <w:pPr>
      <w:spacing w:line="336" w:lineRule="atLeast"/>
    </w:pPr>
    <w:rPr>
      <w:sz w:val="18"/>
      <w:szCs w:val="18"/>
    </w:rPr>
  </w:style>
  <w:style w:type="paragraph" w:customStyle="1" w:styleId="newslist-ellipsis1">
    <w:name w:val="news_list-ellipsis1"/>
    <w:basedOn w:val="a"/>
  </w:style>
  <w:style w:type="paragraph" w:customStyle="1" w:styleId="newslist-ellipsis2">
    <w:name w:val="news_list-ellipsis2"/>
    <w:basedOn w:val="a"/>
  </w:style>
  <w:style w:type="paragraph" w:customStyle="1" w:styleId="conleft00">
    <w:name w:val="conleft00"/>
    <w:basedOn w:val="a"/>
  </w:style>
  <w:style w:type="paragraph" w:customStyle="1" w:styleId="conright00">
    <w:name w:val="conright00"/>
    <w:basedOn w:val="a"/>
  </w:style>
  <w:style w:type="paragraph" w:customStyle="1" w:styleId="hdzxftcont">
    <w:name w:val="hd_zxft_cont"/>
    <w:basedOn w:val="a"/>
    <w:pPr>
      <w:spacing w:line="336" w:lineRule="atLeast"/>
    </w:pPr>
    <w:rPr>
      <w:color w:val="666666"/>
    </w:rPr>
  </w:style>
  <w:style w:type="paragraph" w:customStyle="1" w:styleId="nav">
    <w:name w:val="nav"/>
    <w:basedOn w:val="a"/>
    <w:pPr>
      <w:shd w:val="clear" w:color="auto" w:fill="267FD3"/>
    </w:pPr>
  </w:style>
  <w:style w:type="paragraph" w:customStyle="1" w:styleId="nav-bar">
    <w:name w:val="nav-bar"/>
    <w:basedOn w:val="a"/>
  </w:style>
  <w:style w:type="paragraph" w:customStyle="1" w:styleId="container">
    <w:name w:val="container"/>
    <w:basedOn w:val="a"/>
    <w:pPr>
      <w:shd w:val="clear" w:color="auto" w:fill="FFFFFF"/>
    </w:pPr>
  </w:style>
  <w:style w:type="paragraph" w:customStyle="1" w:styleId="container-inside">
    <w:name w:val="container-inside"/>
    <w:basedOn w:val="a"/>
    <w:pPr>
      <w:shd w:val="clear" w:color="auto" w:fill="FFFFFF"/>
    </w:pPr>
  </w:style>
  <w:style w:type="paragraph" w:customStyle="1" w:styleId="container-inside-border-l">
    <w:name w:val="container-inside-border-l"/>
    <w:basedOn w:val="a"/>
    <w:pPr>
      <w:pBdr>
        <w:right w:val="single" w:sz="4" w:space="0" w:color="E2E2E2"/>
      </w:pBdr>
    </w:pPr>
  </w:style>
  <w:style w:type="paragraph" w:customStyle="1" w:styleId="right-side-title">
    <w:name w:val="right-side-title"/>
    <w:basedOn w:val="a"/>
    <w:pPr>
      <w:pBdr>
        <w:left w:val="single" w:sz="18" w:space="0" w:color="267FD3"/>
      </w:pBdr>
    </w:pPr>
  </w:style>
  <w:style w:type="paragraph" w:customStyle="1" w:styleId="container-inside-body">
    <w:name w:val="container-inside-body"/>
    <w:basedOn w:val="a"/>
    <w:pPr>
      <w:spacing w:after="120"/>
    </w:pPr>
  </w:style>
  <w:style w:type="paragraph" w:customStyle="1" w:styleId="container-inside-title">
    <w:name w:val="container-inside-title"/>
    <w:basedOn w:val="a"/>
    <w:pPr>
      <w:pBdr>
        <w:bottom w:val="single" w:sz="4" w:space="0" w:color="E2E2E2"/>
      </w:pBdr>
    </w:pPr>
    <w:rPr>
      <w:sz w:val="26"/>
      <w:szCs w:val="26"/>
    </w:rPr>
  </w:style>
  <w:style w:type="paragraph" w:customStyle="1" w:styleId="container-inside-titler">
    <w:name w:val="container-inside-titler"/>
    <w:basedOn w:val="a"/>
    <w:pPr>
      <w:spacing w:line="480" w:lineRule="atLeast"/>
    </w:pPr>
    <w:rPr>
      <w:color w:val="8F8F94"/>
      <w:sz w:val="19"/>
      <w:szCs w:val="19"/>
    </w:rPr>
  </w:style>
  <w:style w:type="paragraph" w:customStyle="1" w:styleId="inpsrh">
    <w:name w:val="inp_srh"/>
    <w:basedOn w:val="a"/>
    <w:pPr>
      <w:spacing w:line="360" w:lineRule="atLeast"/>
      <w:ind w:firstLine="720"/>
    </w:pPr>
  </w:style>
  <w:style w:type="paragraph" w:customStyle="1" w:styleId="btnsrh">
    <w:name w:val="btn_srh"/>
    <w:basedOn w:val="a"/>
    <w:pPr>
      <w:ind w:left="-360"/>
    </w:pPr>
    <w:rPr>
      <w:color w:val="FFFFFF"/>
    </w:rPr>
  </w:style>
  <w:style w:type="paragraph" w:customStyle="1" w:styleId="navmain">
    <w:name w:val="nav_main"/>
    <w:basedOn w:val="a"/>
  </w:style>
  <w:style w:type="paragraph" w:customStyle="1" w:styleId="footc">
    <w:name w:val="foot_c"/>
    <w:basedOn w:val="a"/>
    <w:pPr>
      <w:spacing w:before="360"/>
    </w:pPr>
  </w:style>
  <w:style w:type="paragraph" w:customStyle="1" w:styleId="footclogo">
    <w:name w:val="foot_c_logo"/>
    <w:basedOn w:val="a"/>
  </w:style>
  <w:style w:type="paragraph" w:customStyle="1" w:styleId="curpos">
    <w:name w:val="cur_pos"/>
    <w:basedOn w:val="a"/>
    <w:pPr>
      <w:pBdr>
        <w:bottom w:val="single" w:sz="4" w:space="0" w:color="EBEBEB"/>
      </w:pBdr>
      <w:shd w:val="clear" w:color="auto" w:fill="FFFFFF"/>
      <w:spacing w:line="540" w:lineRule="atLeast"/>
    </w:pPr>
  </w:style>
  <w:style w:type="paragraph" w:customStyle="1" w:styleId="info-container">
    <w:name w:val="info-container"/>
    <w:basedOn w:val="a"/>
    <w:pPr>
      <w:spacing w:after="312"/>
    </w:pPr>
  </w:style>
  <w:style w:type="paragraph" w:customStyle="1" w:styleId="infotitle">
    <w:name w:val="info_title"/>
    <w:basedOn w:val="a"/>
    <w:pPr>
      <w:spacing w:line="408" w:lineRule="atLeast"/>
      <w:jc w:val="center"/>
    </w:pPr>
    <w:rPr>
      <w:color w:val="BC1010"/>
      <w:sz w:val="29"/>
      <w:szCs w:val="29"/>
    </w:rPr>
  </w:style>
  <w:style w:type="paragraph" w:customStyle="1" w:styleId="infofbt">
    <w:name w:val="info_fbt"/>
    <w:basedOn w:val="a"/>
    <w:pPr>
      <w:shd w:val="clear" w:color="auto" w:fill="F5F5F5"/>
      <w:spacing w:line="288" w:lineRule="atLeast"/>
    </w:pPr>
    <w:rPr>
      <w:color w:val="666666"/>
    </w:rPr>
  </w:style>
  <w:style w:type="paragraph" w:customStyle="1" w:styleId="infocont">
    <w:name w:val="info_cont"/>
    <w:basedOn w:val="a"/>
    <w:pPr>
      <w:spacing w:line="480" w:lineRule="auto"/>
    </w:pPr>
    <w:rPr>
      <w:rFonts w:ascii="ˎ̥" w:hAnsi="ˎ̥"/>
      <w:color w:val="333333"/>
      <w:sz w:val="19"/>
      <w:szCs w:val="19"/>
    </w:rPr>
  </w:style>
  <w:style w:type="paragraph" w:customStyle="1" w:styleId="infobot">
    <w:name w:val="info_bot"/>
    <w:basedOn w:val="a"/>
    <w:pPr>
      <w:shd w:val="clear" w:color="auto" w:fill="F5F5F5"/>
      <w:spacing w:line="240" w:lineRule="atLeast"/>
      <w:jc w:val="center"/>
    </w:pPr>
    <w:rPr>
      <w:color w:val="757575"/>
    </w:rPr>
  </w:style>
  <w:style w:type="paragraph" w:customStyle="1" w:styleId="llcs">
    <w:name w:val="llcs"/>
    <w:basedOn w:val="a"/>
  </w:style>
  <w:style w:type="paragraph" w:customStyle="1" w:styleId="reci">
    <w:name w:val="reci"/>
    <w:basedOn w:val="a"/>
    <w:rPr>
      <w:sz w:val="22"/>
      <w:szCs w:val="22"/>
    </w:rPr>
  </w:style>
  <w:style w:type="paragraph" w:customStyle="1" w:styleId="zwxx">
    <w:name w:val="zwxx"/>
    <w:basedOn w:val="a"/>
    <w:pPr>
      <w:spacing w:line="336" w:lineRule="atLeast"/>
    </w:pPr>
    <w:rPr>
      <w:sz w:val="18"/>
      <w:szCs w:val="18"/>
    </w:rPr>
  </w:style>
  <w:style w:type="paragraph" w:customStyle="1" w:styleId="zfld">
    <w:name w:val="zfld"/>
    <w:basedOn w:val="a"/>
    <w:pPr>
      <w:spacing w:line="336" w:lineRule="atLeast"/>
    </w:pPr>
  </w:style>
  <w:style w:type="paragraph" w:customStyle="1" w:styleId="zcjd">
    <w:name w:val="zcjd"/>
    <w:basedOn w:val="a"/>
    <w:pPr>
      <w:spacing w:line="336" w:lineRule="atLeast"/>
    </w:pPr>
    <w:rPr>
      <w:color w:val="666666"/>
    </w:rPr>
  </w:style>
  <w:style w:type="paragraph" w:customStyle="1" w:styleId="zwgk-title">
    <w:name w:val="zwgk-title"/>
    <w:basedOn w:val="a"/>
    <w:pPr>
      <w:pBdr>
        <w:bottom w:val="single" w:sz="4" w:space="0" w:color="E2E2E2"/>
      </w:pBdr>
    </w:pPr>
  </w:style>
  <w:style w:type="paragraph" w:customStyle="1" w:styleId="zwgk-title-left">
    <w:name w:val="zwgk-title-left"/>
    <w:basedOn w:val="a"/>
    <w:pPr>
      <w:pBdr>
        <w:bottom w:val="single" w:sz="12" w:space="5" w:color="267FD3"/>
      </w:pBdr>
    </w:pPr>
    <w:rPr>
      <w:b/>
      <w:bCs/>
      <w:color w:val="267FD3"/>
      <w:sz w:val="26"/>
      <w:szCs w:val="26"/>
    </w:rPr>
  </w:style>
  <w:style w:type="paragraph" w:customStyle="1" w:styleId="sousuo">
    <w:name w:val="sousuo"/>
    <w:basedOn w:val="a"/>
  </w:style>
  <w:style w:type="paragraph" w:customStyle="1" w:styleId="button-szxx">
    <w:name w:val="button-szxx"/>
    <w:basedOn w:val="a"/>
    <w:pPr>
      <w:shd w:val="clear" w:color="auto" w:fill="F76F14"/>
      <w:ind w:left="120"/>
    </w:pPr>
    <w:rPr>
      <w:color w:val="FFFFFF"/>
      <w:sz w:val="12"/>
      <w:szCs w:val="12"/>
    </w:rPr>
  </w:style>
  <w:style w:type="paragraph" w:customStyle="1" w:styleId="wlwzleft">
    <w:name w:val="wlwz_left"/>
    <w:basedOn w:val="a"/>
  </w:style>
  <w:style w:type="paragraph" w:customStyle="1" w:styleId="wlwzright">
    <w:name w:val="wlwz_right"/>
    <w:basedOn w:val="a"/>
  </w:style>
  <w:style w:type="paragraph" w:customStyle="1" w:styleId="wlwzplb">
    <w:name w:val="wlwz_plb"/>
    <w:basedOn w:val="a"/>
  </w:style>
  <w:style w:type="paragraph" w:customStyle="1" w:styleId="wlwz-banner">
    <w:name w:val="wlwz-banner"/>
    <w:basedOn w:val="a"/>
  </w:style>
  <w:style w:type="paragraph" w:customStyle="1" w:styleId="dwhf-bg">
    <w:name w:val="dwhf-bg"/>
    <w:basedOn w:val="a"/>
  </w:style>
  <w:style w:type="paragraph" w:customStyle="1" w:styleId="wlwz-title1">
    <w:name w:val="wlwz-title1"/>
    <w:basedOn w:val="a"/>
    <w:pPr>
      <w:pBdr>
        <w:bottom w:val="single" w:sz="12" w:space="5" w:color="267FD3"/>
      </w:pBdr>
    </w:pPr>
    <w:rPr>
      <w:b/>
      <w:bCs/>
      <w:sz w:val="26"/>
      <w:szCs w:val="26"/>
    </w:rPr>
  </w:style>
  <w:style w:type="paragraph" w:customStyle="1" w:styleId="wlwz-title2">
    <w:name w:val="wlwz-title2"/>
    <w:basedOn w:val="a"/>
    <w:pPr>
      <w:pBdr>
        <w:bottom w:val="single" w:sz="12" w:space="3" w:color="267FD3"/>
      </w:pBdr>
      <w:shd w:val="clear" w:color="auto" w:fill="267FD3"/>
    </w:pPr>
  </w:style>
  <w:style w:type="paragraph" w:customStyle="1" w:styleId="wlwz-title2-left">
    <w:name w:val="wlwz-title2-left"/>
    <w:basedOn w:val="a"/>
    <w:rPr>
      <w:b/>
      <w:bCs/>
      <w:color w:val="FFFFFF"/>
      <w:sz w:val="26"/>
      <w:szCs w:val="26"/>
    </w:rPr>
  </w:style>
  <w:style w:type="paragraph" w:customStyle="1" w:styleId="wlwz-title2-right">
    <w:name w:val="wlwz-title2-right"/>
    <w:basedOn w:val="a"/>
    <w:pPr>
      <w:textAlignment w:val="center"/>
    </w:pPr>
    <w:rPr>
      <w:color w:val="FFFFFF"/>
      <w:sz w:val="17"/>
      <w:szCs w:val="17"/>
    </w:rPr>
  </w:style>
  <w:style w:type="paragraph" w:customStyle="1" w:styleId="rdgzlist">
    <w:name w:val="rdgz_list"/>
    <w:basedOn w:val="a"/>
    <w:pPr>
      <w:spacing w:line="336" w:lineRule="atLeast"/>
    </w:pPr>
    <w:rPr>
      <w:sz w:val="18"/>
      <w:szCs w:val="18"/>
    </w:rPr>
  </w:style>
  <w:style w:type="paragraph" w:customStyle="1" w:styleId="dwhf-text">
    <w:name w:val="dwhf-text"/>
    <w:basedOn w:val="a"/>
  </w:style>
  <w:style w:type="paragraph" w:customStyle="1" w:styleId="dwhf-text2">
    <w:name w:val="dwhf-text2"/>
    <w:basedOn w:val="a"/>
    <w:pPr>
      <w:jc w:val="center"/>
    </w:pPr>
  </w:style>
  <w:style w:type="paragraph" w:customStyle="1" w:styleId="paiming1">
    <w:name w:val="paiming1"/>
    <w:basedOn w:val="a"/>
  </w:style>
  <w:style w:type="paragraph" w:customStyle="1" w:styleId="paiming2">
    <w:name w:val="paiming2"/>
    <w:basedOn w:val="a"/>
  </w:style>
  <w:style w:type="paragraph" w:customStyle="1" w:styleId="paiming-text">
    <w:name w:val="paiming-text"/>
    <w:basedOn w:val="a"/>
    <w:rPr>
      <w:color w:val="FFFFFF"/>
    </w:rPr>
  </w:style>
  <w:style w:type="paragraph" w:customStyle="1" w:styleId="paiming-text1">
    <w:name w:val="paiming-text1"/>
    <w:basedOn w:val="a"/>
    <w:rPr>
      <w:color w:val="FFFFFF"/>
    </w:rPr>
  </w:style>
  <w:style w:type="paragraph" w:customStyle="1" w:styleId="mlhz-title">
    <w:name w:val="mlhz-title"/>
    <w:basedOn w:val="a"/>
    <w:pPr>
      <w:jc w:val="center"/>
    </w:pPr>
    <w:rPr>
      <w:b/>
      <w:bCs/>
      <w:color w:val="267FD3"/>
      <w:sz w:val="26"/>
      <w:szCs w:val="26"/>
    </w:rPr>
  </w:style>
  <w:style w:type="paragraph" w:customStyle="1" w:styleId="mlhz-slider">
    <w:name w:val="mlhz-slider"/>
    <w:basedOn w:val="a"/>
    <w:pPr>
      <w:spacing w:before="120" w:after="120"/>
    </w:pPr>
  </w:style>
  <w:style w:type="paragraph" w:customStyle="1" w:styleId="mlhz-slider-icon">
    <w:name w:val="mlhz-slider-icon"/>
    <w:basedOn w:val="a"/>
  </w:style>
  <w:style w:type="paragraph" w:customStyle="1" w:styleId="wsfw-leftcon">
    <w:name w:val="wsfw-leftcon"/>
    <w:basedOn w:val="a"/>
  </w:style>
  <w:style w:type="paragraph" w:customStyle="1" w:styleId="wsfw-rightcon">
    <w:name w:val="wsfw-rightcon"/>
    <w:basedOn w:val="a"/>
  </w:style>
  <w:style w:type="paragraph" w:customStyle="1" w:styleId="wy-title">
    <w:name w:val="wy-title"/>
    <w:basedOn w:val="a"/>
    <w:rPr>
      <w:sz w:val="26"/>
      <w:szCs w:val="26"/>
    </w:rPr>
  </w:style>
  <w:style w:type="paragraph" w:customStyle="1" w:styleId="wsfw-active">
    <w:name w:val="wsfw-active"/>
    <w:basedOn w:val="a"/>
  </w:style>
  <w:style w:type="paragraph" w:customStyle="1" w:styleId="wy-line">
    <w:name w:val="wy-line"/>
    <w:basedOn w:val="a"/>
    <w:pPr>
      <w:pBdr>
        <w:bottom w:val="single" w:sz="4" w:space="0" w:color="E2E2E2"/>
      </w:pBdr>
    </w:pPr>
  </w:style>
  <w:style w:type="paragraph" w:customStyle="1" w:styleId="bg-zf">
    <w:name w:val="bg-zf"/>
    <w:basedOn w:val="a"/>
    <w:pPr>
      <w:shd w:val="clear" w:color="auto" w:fill="FF3300"/>
    </w:pPr>
  </w:style>
  <w:style w:type="paragraph" w:customStyle="1" w:styleId="bg-ggsy">
    <w:name w:val="bg-ggsy"/>
    <w:basedOn w:val="a"/>
    <w:pPr>
      <w:shd w:val="clear" w:color="auto" w:fill="996633"/>
    </w:pPr>
  </w:style>
  <w:style w:type="paragraph" w:customStyle="1" w:styleId="bg-hy">
    <w:name w:val="bg-hy"/>
    <w:basedOn w:val="a"/>
    <w:pPr>
      <w:shd w:val="clear" w:color="auto" w:fill="FF9966"/>
    </w:pPr>
  </w:style>
  <w:style w:type="paragraph" w:customStyle="1" w:styleId="bg-qykb">
    <w:name w:val="bg-qykb"/>
    <w:basedOn w:val="a"/>
    <w:pPr>
      <w:shd w:val="clear" w:color="auto" w:fill="FF9900"/>
    </w:pPr>
  </w:style>
  <w:style w:type="paragraph" w:customStyle="1" w:styleId="bg-zjbl">
    <w:name w:val="bg-zjbl"/>
    <w:basedOn w:val="a"/>
    <w:pPr>
      <w:shd w:val="clear" w:color="auto" w:fill="CC66CC"/>
    </w:pPr>
  </w:style>
  <w:style w:type="paragraph" w:customStyle="1" w:styleId="bg-jyns">
    <w:name w:val="bg-jyns"/>
    <w:basedOn w:val="a"/>
    <w:pPr>
      <w:shd w:val="clear" w:color="auto" w:fill="517CDF"/>
    </w:pPr>
  </w:style>
  <w:style w:type="paragraph" w:customStyle="1" w:styleId="bg-zzrd">
    <w:name w:val="bg-zzrd"/>
    <w:basedOn w:val="a"/>
    <w:pPr>
      <w:shd w:val="clear" w:color="auto" w:fill="0099CC"/>
    </w:pPr>
  </w:style>
  <w:style w:type="paragraph" w:customStyle="1" w:styleId="bg-zsyz">
    <w:name w:val="bg-zsyz"/>
    <w:basedOn w:val="a"/>
    <w:pPr>
      <w:shd w:val="clear" w:color="auto" w:fill="CC9933"/>
    </w:pPr>
  </w:style>
  <w:style w:type="paragraph" w:customStyle="1" w:styleId="wsfw-item">
    <w:name w:val="wsfw-item"/>
    <w:basedOn w:val="a"/>
    <w:pPr>
      <w:jc w:val="center"/>
    </w:pPr>
  </w:style>
  <w:style w:type="paragraph" w:customStyle="1" w:styleId="fwwx-item">
    <w:name w:val="fwwx-item"/>
    <w:basedOn w:val="a"/>
    <w:pPr>
      <w:jc w:val="center"/>
    </w:pPr>
  </w:style>
  <w:style w:type="paragraph" w:customStyle="1" w:styleId="cyfw-list">
    <w:name w:val="cyfw-list"/>
    <w:basedOn w:val="a"/>
    <w:pPr>
      <w:spacing w:before="120"/>
    </w:pPr>
  </w:style>
  <w:style w:type="paragraph" w:customStyle="1" w:styleId="ggfwleft">
    <w:name w:val="ggfw_left"/>
    <w:basedOn w:val="a"/>
    <w:pPr>
      <w:pBdr>
        <w:bottom w:val="single" w:sz="4" w:space="0" w:color="EEEBE2"/>
      </w:pBdr>
    </w:pPr>
  </w:style>
  <w:style w:type="paragraph" w:customStyle="1" w:styleId="zwgkkuang1">
    <w:name w:val="zwgk_kuang1"/>
    <w:basedOn w:val="a"/>
    <w:pPr>
      <w:pBdr>
        <w:top w:val="single" w:sz="2" w:space="0" w:color="E6E1D5"/>
        <w:left w:val="single" w:sz="4" w:space="0" w:color="E6E1D5"/>
        <w:bottom w:val="single" w:sz="4" w:space="0" w:color="E6E1D5"/>
        <w:right w:val="single" w:sz="4" w:space="0" w:color="E6E1D5"/>
      </w:pBdr>
    </w:pPr>
  </w:style>
  <w:style w:type="paragraph" w:customStyle="1" w:styleId="ggfwkuang1">
    <w:name w:val="ggfw_kuang1"/>
    <w:basedOn w:val="a"/>
    <w:pPr>
      <w:pBdr>
        <w:left w:val="single" w:sz="12" w:space="0" w:color="2281D5"/>
      </w:pBdr>
      <w:shd w:val="clear" w:color="auto" w:fill="E3F0FB"/>
    </w:pPr>
  </w:style>
  <w:style w:type="paragraph" w:customStyle="1" w:styleId="ggfwkuang2">
    <w:name w:val="ggfw_kuang2"/>
    <w:basedOn w:val="a"/>
    <w:pPr>
      <w:pBdr>
        <w:top w:val="single" w:sz="4" w:space="0" w:color="2281D5"/>
      </w:pBdr>
      <w:shd w:val="clear" w:color="auto" w:fill="E3F0FB"/>
    </w:pPr>
  </w:style>
  <w:style w:type="paragraph" w:customStyle="1" w:styleId="ggfwkuang3">
    <w:name w:val="ggfw_kuang3"/>
    <w:basedOn w:val="a"/>
    <w:pPr>
      <w:pBdr>
        <w:top w:val="single" w:sz="2" w:space="5" w:color="E6E1D5"/>
        <w:left w:val="single" w:sz="4" w:space="5" w:color="E6E1D5"/>
        <w:bottom w:val="single" w:sz="4" w:space="5" w:color="E6E1D5"/>
        <w:right w:val="single" w:sz="4" w:space="5" w:color="E6E1D5"/>
      </w:pBdr>
    </w:pPr>
  </w:style>
  <w:style w:type="paragraph" w:customStyle="1" w:styleId="ggfwkuang4">
    <w:name w:val="ggfw_kuang4"/>
    <w:basedOn w:val="a"/>
    <w:pPr>
      <w:pBdr>
        <w:top w:val="single" w:sz="4" w:space="0" w:color="E6E1D5"/>
        <w:left w:val="single" w:sz="4" w:space="0" w:color="E6E1D5"/>
        <w:bottom w:val="single" w:sz="4" w:space="0" w:color="E6E1D5"/>
        <w:right w:val="single" w:sz="4" w:space="0" w:color="E6E1D5"/>
      </w:pBdr>
    </w:pPr>
  </w:style>
  <w:style w:type="paragraph" w:customStyle="1" w:styleId="trans">
    <w:name w:val="trans"/>
    <w:basedOn w:val="a"/>
  </w:style>
  <w:style w:type="paragraph" w:customStyle="1" w:styleId="active">
    <w:name w:val="active"/>
    <w:basedOn w:val="a"/>
  </w:style>
  <w:style w:type="paragraph" w:customStyle="1" w:styleId="footctext1">
    <w:name w:val="foot_c_text1"/>
    <w:basedOn w:val="a"/>
  </w:style>
  <w:style w:type="paragraph" w:customStyle="1" w:styleId="footctext2">
    <w:name w:val="foot_c_text2"/>
    <w:basedOn w:val="a"/>
  </w:style>
  <w:style w:type="paragraph" w:customStyle="1" w:styleId="time">
    <w:name w:val="time"/>
    <w:basedOn w:val="a"/>
  </w:style>
  <w:style w:type="paragraph" w:customStyle="1" w:styleId="dianzan">
    <w:name w:val="dianzan"/>
    <w:basedOn w:val="a"/>
  </w:style>
  <w:style w:type="paragraph" w:customStyle="1" w:styleId="a10">
    <w:name w:val="a1"/>
    <w:basedOn w:val="a"/>
  </w:style>
  <w:style w:type="paragraph" w:customStyle="1" w:styleId="a20">
    <w:name w:val="a2"/>
    <w:basedOn w:val="a"/>
  </w:style>
  <w:style w:type="paragraph" w:customStyle="1" w:styleId="a30">
    <w:name w:val="a3"/>
    <w:basedOn w:val="a"/>
  </w:style>
  <w:style w:type="paragraph" w:customStyle="1" w:styleId="a40">
    <w:name w:val="a4"/>
    <w:basedOn w:val="a"/>
  </w:style>
  <w:style w:type="paragraph" w:customStyle="1" w:styleId="a50">
    <w:name w:val="a5"/>
    <w:basedOn w:val="a"/>
  </w:style>
  <w:style w:type="paragraph" w:customStyle="1" w:styleId="a60">
    <w:name w:val="a6"/>
    <w:basedOn w:val="a"/>
  </w:style>
  <w:style w:type="paragraph" w:customStyle="1" w:styleId="similararticletitle">
    <w:name w:val="similararticle_title"/>
    <w:basedOn w:val="a"/>
  </w:style>
  <w:style w:type="paragraph" w:customStyle="1" w:styleId="topcon">
    <w:name w:val="top_con"/>
    <w:basedOn w:val="a"/>
  </w:style>
  <w:style w:type="paragraph" w:customStyle="1" w:styleId="padded-0">
    <w:name w:val="padded-0"/>
    <w:basedOn w:val="a"/>
  </w:style>
  <w:style w:type="paragraph" w:customStyle="1" w:styleId="no-border">
    <w:name w:val="no-border"/>
    <w:basedOn w:val="a"/>
  </w:style>
  <w:style w:type="paragraph" w:customStyle="1" w:styleId="newslistnonedot">
    <w:name w:val="news_list_nonedot"/>
    <w:basedOn w:val="a"/>
  </w:style>
  <w:style w:type="paragraph" w:customStyle="1" w:styleId="active1">
    <w:name w:val="active1"/>
    <w:basedOn w:val="a"/>
    <w:rPr>
      <w:b/>
      <w:bCs/>
      <w:color w:val="267FD3"/>
      <w:sz w:val="26"/>
      <w:szCs w:val="26"/>
    </w:rPr>
  </w:style>
  <w:style w:type="paragraph" w:customStyle="1" w:styleId="a11">
    <w:name w:val="a11"/>
    <w:basedOn w:val="a"/>
  </w:style>
  <w:style w:type="paragraph" w:customStyle="1" w:styleId="a21">
    <w:name w:val="a21"/>
    <w:basedOn w:val="a"/>
  </w:style>
  <w:style w:type="paragraph" w:customStyle="1" w:styleId="a31">
    <w:name w:val="a31"/>
    <w:basedOn w:val="a"/>
  </w:style>
  <w:style w:type="paragraph" w:customStyle="1" w:styleId="a41">
    <w:name w:val="a41"/>
    <w:basedOn w:val="a"/>
  </w:style>
  <w:style w:type="paragraph" w:customStyle="1" w:styleId="a51">
    <w:name w:val="a51"/>
    <w:basedOn w:val="a"/>
  </w:style>
  <w:style w:type="paragraph" w:customStyle="1" w:styleId="a61">
    <w:name w:val="a61"/>
    <w:basedOn w:val="a"/>
  </w:style>
  <w:style w:type="paragraph" w:customStyle="1" w:styleId="footctext11">
    <w:name w:val="foot_c_text11"/>
    <w:basedOn w:val="a"/>
    <w:rPr>
      <w:sz w:val="17"/>
      <w:szCs w:val="17"/>
    </w:rPr>
  </w:style>
  <w:style w:type="paragraph" w:customStyle="1" w:styleId="footctext21">
    <w:name w:val="foot_c_text21"/>
    <w:basedOn w:val="a"/>
  </w:style>
  <w:style w:type="paragraph" w:customStyle="1" w:styleId="time1">
    <w:name w:val="time1"/>
    <w:basedOn w:val="a"/>
    <w:pPr>
      <w:ind w:right="216"/>
    </w:pPr>
  </w:style>
  <w:style w:type="paragraph" w:customStyle="1" w:styleId="dianzan1">
    <w:name w:val="dianzan1"/>
    <w:basedOn w:val="a"/>
  </w:style>
  <w:style w:type="paragraph" w:customStyle="1" w:styleId="similararticletitle1">
    <w:name w:val="similararticle_title1"/>
    <w:basedOn w:val="a"/>
    <w:pPr>
      <w:pBdr>
        <w:bottom w:val="single" w:sz="4" w:space="0" w:color="E0E0E0"/>
      </w:pBdr>
      <w:spacing w:after="120" w:line="420" w:lineRule="atLeast"/>
    </w:pPr>
    <w:rPr>
      <w:color w:val="FF0000"/>
      <w:sz w:val="22"/>
      <w:szCs w:val="22"/>
    </w:rPr>
  </w:style>
  <w:style w:type="paragraph" w:customStyle="1" w:styleId="topcon1">
    <w:name w:val="top_con1"/>
    <w:basedOn w:val="a"/>
    <w:pPr>
      <w:ind w:left="240"/>
    </w:pPr>
  </w:style>
  <w:style w:type="paragraph" w:customStyle="1" w:styleId="active2">
    <w:name w:val="active2"/>
    <w:basedOn w:val="a"/>
    <w:rPr>
      <w:color w:val="267FD3"/>
    </w:rPr>
  </w:style>
  <w:style w:type="paragraph" w:customStyle="1" w:styleId="active3">
    <w:name w:val="active3"/>
    <w:basedOn w:val="a"/>
    <w:rPr>
      <w:b/>
      <w:bCs/>
      <w:color w:val="267FD3"/>
      <w:sz w:val="26"/>
      <w:szCs w:val="26"/>
    </w:rPr>
  </w:style>
  <w:style w:type="character" w:customStyle="1" w:styleId="time2">
    <w:name w:val="time2"/>
    <w:basedOn w:val="a0"/>
  </w:style>
  <w:style w:type="character" w:customStyle="1" w:styleId="ly">
    <w:name w:val="ly"/>
    <w:basedOn w:val="a0"/>
  </w:style>
  <w:style w:type="paragraph" w:styleId="a7">
    <w:name w:val="Balloon Text"/>
    <w:basedOn w:val="a"/>
    <w:link w:val="Char"/>
    <w:uiPriority w:val="99"/>
    <w:semiHidden/>
    <w:unhideWhenUsed/>
    <w:rsid w:val="00DB4FE6"/>
    <w:rPr>
      <w:sz w:val="18"/>
      <w:szCs w:val="18"/>
    </w:rPr>
  </w:style>
  <w:style w:type="character" w:customStyle="1" w:styleId="Char">
    <w:name w:val="批注框文本 Char"/>
    <w:basedOn w:val="a0"/>
    <w:link w:val="a7"/>
    <w:uiPriority w:val="99"/>
    <w:semiHidden/>
    <w:rsid w:val="00DB4FE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7880364">
      <w:marLeft w:val="0"/>
      <w:marRight w:val="0"/>
      <w:marTop w:val="0"/>
      <w:marBottom w:val="0"/>
      <w:divBdr>
        <w:top w:val="none" w:sz="0" w:space="0" w:color="auto"/>
        <w:left w:val="none" w:sz="0" w:space="0" w:color="auto"/>
        <w:bottom w:val="none" w:sz="0" w:space="0" w:color="auto"/>
        <w:right w:val="none" w:sz="0" w:space="0" w:color="auto"/>
      </w:divBdr>
      <w:divsChild>
        <w:div w:id="1701936294">
          <w:marLeft w:val="0"/>
          <w:marRight w:val="0"/>
          <w:marTop w:val="0"/>
          <w:marBottom w:val="0"/>
          <w:divBdr>
            <w:top w:val="none" w:sz="0" w:space="0" w:color="auto"/>
            <w:left w:val="none" w:sz="0" w:space="0" w:color="auto"/>
            <w:bottom w:val="single" w:sz="4" w:space="0" w:color="EBEBEB"/>
            <w:right w:val="none" w:sz="0" w:space="0" w:color="auto"/>
          </w:divBdr>
        </w:div>
        <w:div w:id="1450777462">
          <w:marLeft w:val="0"/>
          <w:marRight w:val="0"/>
          <w:marTop w:val="0"/>
          <w:marBottom w:val="312"/>
          <w:divBdr>
            <w:top w:val="none" w:sz="0" w:space="0" w:color="auto"/>
            <w:left w:val="none" w:sz="0" w:space="0" w:color="auto"/>
            <w:bottom w:val="none" w:sz="0" w:space="0" w:color="auto"/>
            <w:right w:val="none" w:sz="0" w:space="0" w:color="auto"/>
          </w:divBdr>
          <w:divsChild>
            <w:div w:id="2121561136">
              <w:marLeft w:val="0"/>
              <w:marRight w:val="0"/>
              <w:marTop w:val="0"/>
              <w:marBottom w:val="0"/>
              <w:divBdr>
                <w:top w:val="none" w:sz="0" w:space="0" w:color="auto"/>
                <w:left w:val="none" w:sz="0" w:space="0" w:color="auto"/>
                <w:bottom w:val="none" w:sz="0" w:space="0" w:color="auto"/>
                <w:right w:val="none" w:sz="0" w:space="0" w:color="auto"/>
              </w:divBdr>
              <w:divsChild>
                <w:div w:id="352196486">
                  <w:marLeft w:val="0"/>
                  <w:marRight w:val="0"/>
                  <w:marTop w:val="0"/>
                  <w:marBottom w:val="0"/>
                  <w:divBdr>
                    <w:top w:val="none" w:sz="0" w:space="0" w:color="auto"/>
                    <w:left w:val="none" w:sz="0" w:space="0" w:color="auto"/>
                    <w:bottom w:val="none" w:sz="0" w:space="0" w:color="auto"/>
                    <w:right w:val="none" w:sz="0" w:space="0" w:color="auto"/>
                  </w:divBdr>
                </w:div>
                <w:div w:id="2030181892">
                  <w:marLeft w:val="0"/>
                  <w:marRight w:val="0"/>
                  <w:marTop w:val="0"/>
                  <w:marBottom w:val="0"/>
                  <w:divBdr>
                    <w:top w:val="none" w:sz="0" w:space="0" w:color="auto"/>
                    <w:left w:val="none" w:sz="0" w:space="0" w:color="auto"/>
                    <w:bottom w:val="none" w:sz="0" w:space="0" w:color="auto"/>
                    <w:right w:val="none" w:sz="0" w:space="0" w:color="auto"/>
                  </w:divBdr>
                  <w:divsChild>
                    <w:div w:id="1831679118">
                      <w:marLeft w:val="0"/>
                      <w:marRight w:val="0"/>
                      <w:marTop w:val="0"/>
                      <w:marBottom w:val="0"/>
                      <w:divBdr>
                        <w:top w:val="none" w:sz="0" w:space="0" w:color="auto"/>
                        <w:left w:val="none" w:sz="0" w:space="0" w:color="auto"/>
                        <w:bottom w:val="none" w:sz="0" w:space="0" w:color="auto"/>
                        <w:right w:val="none" w:sz="0" w:space="0" w:color="auto"/>
                      </w:divBdr>
                    </w:div>
                    <w:div w:id="1276474893">
                      <w:marLeft w:val="0"/>
                      <w:marRight w:val="0"/>
                      <w:marTop w:val="0"/>
                      <w:marBottom w:val="0"/>
                      <w:divBdr>
                        <w:top w:val="none" w:sz="0" w:space="0" w:color="auto"/>
                        <w:left w:val="none" w:sz="0" w:space="0" w:color="auto"/>
                        <w:bottom w:val="none" w:sz="0" w:space="0" w:color="auto"/>
                        <w:right w:val="none" w:sz="0" w:space="0" w:color="auto"/>
                      </w:divBdr>
                    </w:div>
                    <w:div w:id="100734093">
                      <w:marLeft w:val="0"/>
                      <w:marRight w:val="0"/>
                      <w:marTop w:val="0"/>
                      <w:marBottom w:val="0"/>
                      <w:divBdr>
                        <w:top w:val="none" w:sz="0" w:space="0" w:color="auto"/>
                        <w:left w:val="none" w:sz="0" w:space="0" w:color="auto"/>
                        <w:bottom w:val="none" w:sz="0" w:space="0" w:color="auto"/>
                        <w:right w:val="none" w:sz="0" w:space="0" w:color="auto"/>
                      </w:divBdr>
                    </w:div>
                    <w:div w:id="2077238928">
                      <w:marLeft w:val="0"/>
                      <w:marRight w:val="0"/>
                      <w:marTop w:val="0"/>
                      <w:marBottom w:val="0"/>
                      <w:divBdr>
                        <w:top w:val="none" w:sz="0" w:space="0" w:color="auto"/>
                        <w:left w:val="none" w:sz="0" w:space="0" w:color="auto"/>
                        <w:bottom w:val="none" w:sz="0" w:space="0" w:color="auto"/>
                        <w:right w:val="none" w:sz="0" w:space="0" w:color="auto"/>
                      </w:divBdr>
                    </w:div>
                    <w:div w:id="1860117766">
                      <w:marLeft w:val="0"/>
                      <w:marRight w:val="0"/>
                      <w:marTop w:val="0"/>
                      <w:marBottom w:val="0"/>
                      <w:divBdr>
                        <w:top w:val="none" w:sz="0" w:space="0" w:color="auto"/>
                        <w:left w:val="none" w:sz="0" w:space="0" w:color="auto"/>
                        <w:bottom w:val="none" w:sz="0" w:space="0" w:color="auto"/>
                        <w:right w:val="none" w:sz="0" w:space="0" w:color="auto"/>
                      </w:divBdr>
                    </w:div>
                    <w:div w:id="1892378456">
                      <w:marLeft w:val="0"/>
                      <w:marRight w:val="0"/>
                      <w:marTop w:val="0"/>
                      <w:marBottom w:val="0"/>
                      <w:divBdr>
                        <w:top w:val="none" w:sz="0" w:space="0" w:color="auto"/>
                        <w:left w:val="none" w:sz="0" w:space="0" w:color="auto"/>
                        <w:bottom w:val="none" w:sz="0" w:space="0" w:color="auto"/>
                        <w:right w:val="none" w:sz="0" w:space="0" w:color="auto"/>
                      </w:divBdr>
                    </w:div>
                    <w:div w:id="967394855">
                      <w:marLeft w:val="0"/>
                      <w:marRight w:val="0"/>
                      <w:marTop w:val="0"/>
                      <w:marBottom w:val="0"/>
                      <w:divBdr>
                        <w:top w:val="none" w:sz="0" w:space="0" w:color="auto"/>
                        <w:left w:val="none" w:sz="0" w:space="0" w:color="auto"/>
                        <w:bottom w:val="none" w:sz="0" w:space="0" w:color="auto"/>
                        <w:right w:val="none" w:sz="0" w:space="0" w:color="auto"/>
                      </w:divBdr>
                    </w:div>
                    <w:div w:id="1903709049">
                      <w:marLeft w:val="0"/>
                      <w:marRight w:val="0"/>
                      <w:marTop w:val="0"/>
                      <w:marBottom w:val="0"/>
                      <w:divBdr>
                        <w:top w:val="none" w:sz="0" w:space="0" w:color="auto"/>
                        <w:left w:val="none" w:sz="0" w:space="0" w:color="auto"/>
                        <w:bottom w:val="none" w:sz="0" w:space="0" w:color="auto"/>
                        <w:right w:val="none" w:sz="0" w:space="0" w:color="auto"/>
                      </w:divBdr>
                    </w:div>
                    <w:div w:id="210003262">
                      <w:marLeft w:val="0"/>
                      <w:marRight w:val="0"/>
                      <w:marTop w:val="0"/>
                      <w:marBottom w:val="0"/>
                      <w:divBdr>
                        <w:top w:val="none" w:sz="0" w:space="0" w:color="auto"/>
                        <w:left w:val="none" w:sz="0" w:space="0" w:color="auto"/>
                        <w:bottom w:val="none" w:sz="0" w:space="0" w:color="auto"/>
                        <w:right w:val="none" w:sz="0" w:space="0" w:color="auto"/>
                      </w:divBdr>
                    </w:div>
                    <w:div w:id="595133170">
                      <w:marLeft w:val="0"/>
                      <w:marRight w:val="0"/>
                      <w:marTop w:val="0"/>
                      <w:marBottom w:val="0"/>
                      <w:divBdr>
                        <w:top w:val="none" w:sz="0" w:space="0" w:color="auto"/>
                        <w:left w:val="none" w:sz="0" w:space="0" w:color="auto"/>
                        <w:bottom w:val="none" w:sz="0" w:space="0" w:color="auto"/>
                        <w:right w:val="none" w:sz="0" w:space="0" w:color="auto"/>
                      </w:divBdr>
                    </w:div>
                    <w:div w:id="389421953">
                      <w:marLeft w:val="0"/>
                      <w:marRight w:val="0"/>
                      <w:marTop w:val="0"/>
                      <w:marBottom w:val="0"/>
                      <w:divBdr>
                        <w:top w:val="none" w:sz="0" w:space="0" w:color="auto"/>
                        <w:left w:val="none" w:sz="0" w:space="0" w:color="auto"/>
                        <w:bottom w:val="none" w:sz="0" w:space="0" w:color="auto"/>
                        <w:right w:val="none" w:sz="0" w:space="0" w:color="auto"/>
                      </w:divBdr>
                    </w:div>
                    <w:div w:id="1031224442">
                      <w:marLeft w:val="0"/>
                      <w:marRight w:val="0"/>
                      <w:marTop w:val="0"/>
                      <w:marBottom w:val="0"/>
                      <w:divBdr>
                        <w:top w:val="none" w:sz="0" w:space="0" w:color="auto"/>
                        <w:left w:val="none" w:sz="0" w:space="0" w:color="auto"/>
                        <w:bottom w:val="none" w:sz="0" w:space="0" w:color="auto"/>
                        <w:right w:val="none" w:sz="0" w:space="0" w:color="auto"/>
                      </w:divBdr>
                    </w:div>
                    <w:div w:id="633020057">
                      <w:marLeft w:val="0"/>
                      <w:marRight w:val="0"/>
                      <w:marTop w:val="0"/>
                      <w:marBottom w:val="0"/>
                      <w:divBdr>
                        <w:top w:val="none" w:sz="0" w:space="0" w:color="auto"/>
                        <w:left w:val="none" w:sz="0" w:space="0" w:color="auto"/>
                        <w:bottom w:val="none" w:sz="0" w:space="0" w:color="auto"/>
                        <w:right w:val="none" w:sz="0" w:space="0" w:color="auto"/>
                      </w:divBdr>
                    </w:div>
                    <w:div w:id="1808938364">
                      <w:marLeft w:val="0"/>
                      <w:marRight w:val="0"/>
                      <w:marTop w:val="0"/>
                      <w:marBottom w:val="0"/>
                      <w:divBdr>
                        <w:top w:val="none" w:sz="0" w:space="0" w:color="auto"/>
                        <w:left w:val="none" w:sz="0" w:space="0" w:color="auto"/>
                        <w:bottom w:val="none" w:sz="0" w:space="0" w:color="auto"/>
                        <w:right w:val="none" w:sz="0" w:space="0" w:color="auto"/>
                      </w:divBdr>
                    </w:div>
                    <w:div w:id="2015567456">
                      <w:marLeft w:val="0"/>
                      <w:marRight w:val="0"/>
                      <w:marTop w:val="0"/>
                      <w:marBottom w:val="0"/>
                      <w:divBdr>
                        <w:top w:val="none" w:sz="0" w:space="0" w:color="auto"/>
                        <w:left w:val="none" w:sz="0" w:space="0" w:color="auto"/>
                        <w:bottom w:val="none" w:sz="0" w:space="0" w:color="auto"/>
                        <w:right w:val="none" w:sz="0" w:space="0" w:color="auto"/>
                      </w:divBdr>
                    </w:div>
                    <w:div w:id="1587838769">
                      <w:marLeft w:val="0"/>
                      <w:marRight w:val="0"/>
                      <w:marTop w:val="0"/>
                      <w:marBottom w:val="0"/>
                      <w:divBdr>
                        <w:top w:val="none" w:sz="0" w:space="0" w:color="auto"/>
                        <w:left w:val="none" w:sz="0" w:space="0" w:color="auto"/>
                        <w:bottom w:val="none" w:sz="0" w:space="0" w:color="auto"/>
                        <w:right w:val="none" w:sz="0" w:space="0" w:color="auto"/>
                      </w:divBdr>
                    </w:div>
                    <w:div w:id="990524579">
                      <w:marLeft w:val="0"/>
                      <w:marRight w:val="0"/>
                      <w:marTop w:val="0"/>
                      <w:marBottom w:val="0"/>
                      <w:divBdr>
                        <w:top w:val="none" w:sz="0" w:space="0" w:color="auto"/>
                        <w:left w:val="none" w:sz="0" w:space="0" w:color="auto"/>
                        <w:bottom w:val="none" w:sz="0" w:space="0" w:color="auto"/>
                        <w:right w:val="none" w:sz="0" w:space="0" w:color="auto"/>
                      </w:divBdr>
                    </w:div>
                    <w:div w:id="1787574852">
                      <w:marLeft w:val="0"/>
                      <w:marRight w:val="0"/>
                      <w:marTop w:val="0"/>
                      <w:marBottom w:val="0"/>
                      <w:divBdr>
                        <w:top w:val="none" w:sz="0" w:space="0" w:color="auto"/>
                        <w:left w:val="none" w:sz="0" w:space="0" w:color="auto"/>
                        <w:bottom w:val="none" w:sz="0" w:space="0" w:color="auto"/>
                        <w:right w:val="none" w:sz="0" w:space="0" w:color="auto"/>
                      </w:divBdr>
                    </w:div>
                    <w:div w:id="1817457586">
                      <w:marLeft w:val="0"/>
                      <w:marRight w:val="0"/>
                      <w:marTop w:val="0"/>
                      <w:marBottom w:val="0"/>
                      <w:divBdr>
                        <w:top w:val="none" w:sz="0" w:space="0" w:color="auto"/>
                        <w:left w:val="none" w:sz="0" w:space="0" w:color="auto"/>
                        <w:bottom w:val="none" w:sz="0" w:space="0" w:color="auto"/>
                        <w:right w:val="none" w:sz="0" w:space="0" w:color="auto"/>
                      </w:divBdr>
                    </w:div>
                    <w:div w:id="1574269320">
                      <w:marLeft w:val="0"/>
                      <w:marRight w:val="0"/>
                      <w:marTop w:val="0"/>
                      <w:marBottom w:val="0"/>
                      <w:divBdr>
                        <w:top w:val="none" w:sz="0" w:space="0" w:color="auto"/>
                        <w:left w:val="none" w:sz="0" w:space="0" w:color="auto"/>
                        <w:bottom w:val="none" w:sz="0" w:space="0" w:color="auto"/>
                        <w:right w:val="none" w:sz="0" w:space="0" w:color="auto"/>
                      </w:divBdr>
                    </w:div>
                    <w:div w:id="626349115">
                      <w:marLeft w:val="0"/>
                      <w:marRight w:val="0"/>
                      <w:marTop w:val="0"/>
                      <w:marBottom w:val="0"/>
                      <w:divBdr>
                        <w:top w:val="none" w:sz="0" w:space="0" w:color="auto"/>
                        <w:left w:val="none" w:sz="0" w:space="0" w:color="auto"/>
                        <w:bottom w:val="none" w:sz="0" w:space="0" w:color="auto"/>
                        <w:right w:val="none" w:sz="0" w:space="0" w:color="auto"/>
                      </w:divBdr>
                    </w:div>
                    <w:div w:id="99179285">
                      <w:marLeft w:val="0"/>
                      <w:marRight w:val="0"/>
                      <w:marTop w:val="0"/>
                      <w:marBottom w:val="0"/>
                      <w:divBdr>
                        <w:top w:val="none" w:sz="0" w:space="0" w:color="auto"/>
                        <w:left w:val="none" w:sz="0" w:space="0" w:color="auto"/>
                        <w:bottom w:val="none" w:sz="0" w:space="0" w:color="auto"/>
                        <w:right w:val="none" w:sz="0" w:space="0" w:color="auto"/>
                      </w:divBdr>
                    </w:div>
                    <w:div w:id="1713192308">
                      <w:marLeft w:val="0"/>
                      <w:marRight w:val="0"/>
                      <w:marTop w:val="0"/>
                      <w:marBottom w:val="0"/>
                      <w:divBdr>
                        <w:top w:val="none" w:sz="0" w:space="0" w:color="auto"/>
                        <w:left w:val="none" w:sz="0" w:space="0" w:color="auto"/>
                        <w:bottom w:val="none" w:sz="0" w:space="0" w:color="auto"/>
                        <w:right w:val="none" w:sz="0" w:space="0" w:color="auto"/>
                      </w:divBdr>
                    </w:div>
                    <w:div w:id="900217713">
                      <w:marLeft w:val="0"/>
                      <w:marRight w:val="0"/>
                      <w:marTop w:val="0"/>
                      <w:marBottom w:val="0"/>
                      <w:divBdr>
                        <w:top w:val="none" w:sz="0" w:space="0" w:color="auto"/>
                        <w:left w:val="none" w:sz="0" w:space="0" w:color="auto"/>
                        <w:bottom w:val="none" w:sz="0" w:space="0" w:color="auto"/>
                        <w:right w:val="none" w:sz="0" w:space="0" w:color="auto"/>
                      </w:divBdr>
                    </w:div>
                    <w:div w:id="1875148095">
                      <w:marLeft w:val="0"/>
                      <w:marRight w:val="0"/>
                      <w:marTop w:val="0"/>
                      <w:marBottom w:val="0"/>
                      <w:divBdr>
                        <w:top w:val="none" w:sz="0" w:space="0" w:color="auto"/>
                        <w:left w:val="none" w:sz="0" w:space="0" w:color="auto"/>
                        <w:bottom w:val="none" w:sz="0" w:space="0" w:color="auto"/>
                        <w:right w:val="none" w:sz="0" w:space="0" w:color="auto"/>
                      </w:divBdr>
                    </w:div>
                    <w:div w:id="430515532">
                      <w:marLeft w:val="0"/>
                      <w:marRight w:val="0"/>
                      <w:marTop w:val="0"/>
                      <w:marBottom w:val="0"/>
                      <w:divBdr>
                        <w:top w:val="none" w:sz="0" w:space="0" w:color="auto"/>
                        <w:left w:val="none" w:sz="0" w:space="0" w:color="auto"/>
                        <w:bottom w:val="none" w:sz="0" w:space="0" w:color="auto"/>
                        <w:right w:val="none" w:sz="0" w:space="0" w:color="auto"/>
                      </w:divBdr>
                    </w:div>
                    <w:div w:id="1878546027">
                      <w:marLeft w:val="0"/>
                      <w:marRight w:val="0"/>
                      <w:marTop w:val="0"/>
                      <w:marBottom w:val="0"/>
                      <w:divBdr>
                        <w:top w:val="none" w:sz="0" w:space="0" w:color="auto"/>
                        <w:left w:val="none" w:sz="0" w:space="0" w:color="auto"/>
                        <w:bottom w:val="none" w:sz="0" w:space="0" w:color="auto"/>
                        <w:right w:val="none" w:sz="0" w:space="0" w:color="auto"/>
                      </w:divBdr>
                    </w:div>
                    <w:div w:id="2017682767">
                      <w:marLeft w:val="0"/>
                      <w:marRight w:val="0"/>
                      <w:marTop w:val="0"/>
                      <w:marBottom w:val="0"/>
                      <w:divBdr>
                        <w:top w:val="none" w:sz="0" w:space="0" w:color="auto"/>
                        <w:left w:val="none" w:sz="0" w:space="0" w:color="auto"/>
                        <w:bottom w:val="none" w:sz="0" w:space="0" w:color="auto"/>
                        <w:right w:val="none" w:sz="0" w:space="0" w:color="auto"/>
                      </w:divBdr>
                    </w:div>
                    <w:div w:id="968899693">
                      <w:marLeft w:val="0"/>
                      <w:marRight w:val="0"/>
                      <w:marTop w:val="0"/>
                      <w:marBottom w:val="0"/>
                      <w:divBdr>
                        <w:top w:val="none" w:sz="0" w:space="0" w:color="auto"/>
                        <w:left w:val="none" w:sz="0" w:space="0" w:color="auto"/>
                        <w:bottom w:val="none" w:sz="0" w:space="0" w:color="auto"/>
                        <w:right w:val="none" w:sz="0" w:space="0" w:color="auto"/>
                      </w:divBdr>
                    </w:div>
                    <w:div w:id="833910789">
                      <w:marLeft w:val="0"/>
                      <w:marRight w:val="0"/>
                      <w:marTop w:val="0"/>
                      <w:marBottom w:val="0"/>
                      <w:divBdr>
                        <w:top w:val="none" w:sz="0" w:space="0" w:color="auto"/>
                        <w:left w:val="none" w:sz="0" w:space="0" w:color="auto"/>
                        <w:bottom w:val="none" w:sz="0" w:space="0" w:color="auto"/>
                        <w:right w:val="none" w:sz="0" w:space="0" w:color="auto"/>
                      </w:divBdr>
                    </w:div>
                    <w:div w:id="1982416802">
                      <w:marLeft w:val="0"/>
                      <w:marRight w:val="1493"/>
                      <w:marTop w:val="0"/>
                      <w:marBottom w:val="0"/>
                      <w:divBdr>
                        <w:top w:val="none" w:sz="0" w:space="0" w:color="auto"/>
                        <w:left w:val="none" w:sz="0" w:space="0" w:color="auto"/>
                        <w:bottom w:val="none" w:sz="0" w:space="0" w:color="auto"/>
                        <w:right w:val="none" w:sz="0" w:space="0" w:color="auto"/>
                      </w:divBdr>
                    </w:div>
                    <w:div w:id="575436321">
                      <w:marLeft w:val="0"/>
                      <w:marRight w:val="1243"/>
                      <w:marTop w:val="0"/>
                      <w:marBottom w:val="0"/>
                      <w:divBdr>
                        <w:top w:val="none" w:sz="0" w:space="0" w:color="auto"/>
                        <w:left w:val="none" w:sz="0" w:space="0" w:color="auto"/>
                        <w:bottom w:val="none" w:sz="0" w:space="0" w:color="auto"/>
                        <w:right w:val="none" w:sz="0" w:space="0" w:color="auto"/>
                      </w:divBdr>
                    </w:div>
                  </w:divsChild>
                </w:div>
              </w:divsChild>
            </w:div>
            <w:div w:id="813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2451</Words>
  <Characters>114</Characters>
  <Application>Microsoft Office Word</Application>
  <DocSecurity>4</DocSecurity>
  <Lines>1</Lines>
  <Paragraphs>5</Paragraphs>
  <ScaleCrop>false</ScaleCrop>
  <Company>CHINA</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惠州市人民政府门户网站</dc:title>
  <dc:subject/>
  <dc:creator>linfan</dc:creator>
  <cp:keywords/>
  <dc:description/>
  <cp:lastModifiedBy>linfan</cp:lastModifiedBy>
  <cp:revision>2</cp:revision>
  <dcterms:created xsi:type="dcterms:W3CDTF">2018-05-17T04:19:00Z</dcterms:created>
  <dcterms:modified xsi:type="dcterms:W3CDTF">2018-05-17T04:19:00Z</dcterms:modified>
</cp:coreProperties>
</file>