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549" w:type="dxa"/>
        <w:jc w:val="center"/>
        <w:tblCellSpacing w:w="0"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549" w:type="dxa"/>
            <w:tcBorders>
              <w:top w:val="nil"/>
              <w:left w:val="nil"/>
              <w:bottom w:val="nil"/>
              <w:right w:val="nil"/>
            </w:tcBorders>
            <w:shd w:val="clear" w:color="auto" w:fill="FFFFFF"/>
            <w:tcMar>
              <w:top w:w="300" w:type="dxa"/>
              <w:left w:w="300" w:type="dxa"/>
              <w:bottom w:w="300" w:type="dxa"/>
              <w:right w:w="300" w:type="dxa"/>
            </w:tcMar>
            <w:vAlign w:val="top"/>
          </w:tcPr>
          <w:p>
            <w:pPr>
              <w:keepNext w:val="0"/>
              <w:keepLines w:val="0"/>
              <w:widowControl/>
              <w:suppressLineNumbers w:val="0"/>
              <w:spacing w:before="0" w:beforeAutospacing="0" w:after="0" w:afterAutospacing="0" w:line="450" w:lineRule="atLeast"/>
              <w:ind w:left="0" w:right="0" w:firstLine="0"/>
              <w:jc w:val="center"/>
              <w:textAlignment w:val="baseline"/>
              <w:rPr>
                <w:rFonts w:hint="eastAsia" w:ascii="微软雅黑" w:hAnsi="微软雅黑" w:eastAsia="微软雅黑" w:cs="微软雅黑"/>
                <w:b w:val="0"/>
                <w:i w:val="0"/>
                <w:caps w:val="0"/>
                <w:color w:val="3D7BBD"/>
                <w:spacing w:val="0"/>
                <w:sz w:val="37"/>
                <w:szCs w:val="37"/>
              </w:rPr>
            </w:pPr>
            <w:bookmarkStart w:id="0" w:name="_GoBack"/>
            <w:r>
              <w:rPr>
                <w:rFonts w:hint="eastAsia" w:ascii="微软雅黑" w:hAnsi="微软雅黑" w:eastAsia="微软雅黑" w:cs="微软雅黑"/>
                <w:b w:val="0"/>
                <w:i w:val="0"/>
                <w:caps w:val="0"/>
                <w:color w:val="3D7BBD"/>
                <w:spacing w:val="0"/>
                <w:kern w:val="0"/>
                <w:sz w:val="37"/>
                <w:szCs w:val="37"/>
                <w:bdr w:val="none" w:color="auto" w:sz="0" w:space="0"/>
                <w:vertAlign w:val="baseline"/>
                <w:lang w:val="en-US" w:eastAsia="zh-CN" w:bidi="ar"/>
              </w:rPr>
              <w:t>关于扶持重点企业和成长型企业加快发展的若干意见(试行)</w:t>
            </w:r>
            <w:bookmarkEnd w:id="0"/>
          </w:p>
        </w:tc>
      </w:tr>
    </w:tbl>
    <w:p>
      <w:pPr>
        <w:rPr>
          <w:vanish/>
          <w:sz w:val="24"/>
          <w:szCs w:val="24"/>
        </w:rPr>
      </w:pPr>
    </w:p>
    <w:tbl>
      <w:tblPr>
        <w:tblW w:w="7973" w:type="dxa"/>
        <w:jc w:val="center"/>
        <w:tblCellSpacing w:w="0" w:type="dxa"/>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3F3F3"/>
        <w:tblLayout w:type="fixed"/>
        <w:tblCellMar>
          <w:top w:w="0" w:type="dxa"/>
          <w:left w:w="0" w:type="dxa"/>
          <w:bottom w:w="0" w:type="dxa"/>
          <w:right w:w="0" w:type="dxa"/>
        </w:tblCellMar>
      </w:tblPr>
      <w:tblGrid>
        <w:gridCol w:w="7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3F3F3"/>
          <w:tblLayout w:type="fixed"/>
          <w:tblCellMar>
            <w:top w:w="0" w:type="dxa"/>
            <w:left w:w="0" w:type="dxa"/>
            <w:bottom w:w="0" w:type="dxa"/>
            <w:right w:w="0" w:type="dxa"/>
          </w:tblCellMar>
        </w:tblPrEx>
        <w:trPr>
          <w:trHeight w:val="45" w:hRule="atLeast"/>
          <w:tblCellSpacing w:w="0" w:type="dxa"/>
          <w:jc w:val="center"/>
        </w:trPr>
        <w:tc>
          <w:tcPr>
            <w:tcW w:w="7973" w:type="dxa"/>
            <w:tcBorders>
              <w:top w:val="nil"/>
              <w:left w:val="nil"/>
              <w:bottom w:val="nil"/>
              <w:right w:val="nil"/>
            </w:tcBorders>
            <w:shd w:val="clear" w:color="auto" w:fill="F3F3F3"/>
            <w:vAlign w:val="top"/>
          </w:tcPr>
          <w:p>
            <w:pPr>
              <w:rPr>
                <w:rFonts w:hint="eastAsia" w:ascii="微软雅黑" w:hAnsi="微软雅黑" w:eastAsia="微软雅黑" w:cs="微软雅黑"/>
                <w:b w:val="0"/>
                <w:i w:val="0"/>
                <w:caps w:val="0"/>
                <w:color w:val="333333"/>
                <w:spacing w:val="0"/>
                <w:sz w:val="21"/>
                <w:szCs w:val="21"/>
                <w:vertAlign w:val="baseline"/>
              </w:rPr>
            </w:pPr>
          </w:p>
        </w:tc>
      </w:tr>
    </w:tbl>
    <w:p>
      <w:pPr>
        <w:rPr>
          <w:vanish/>
          <w:sz w:val="24"/>
          <w:szCs w:val="24"/>
        </w:rPr>
      </w:pPr>
    </w:p>
    <w:tbl>
      <w:tblPr>
        <w:tblW w:w="7641" w:type="dxa"/>
        <w:jc w:val="center"/>
        <w:tblCellSpacing w:w="0"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01" w:hRule="atLeast"/>
          <w:tblCellSpacing w:w="0" w:type="dxa"/>
          <w:jc w:val="center"/>
        </w:trPr>
        <w:tc>
          <w:tcPr>
            <w:tcW w:w="7641" w:type="dxa"/>
            <w:tcBorders>
              <w:top w:val="nil"/>
              <w:left w:val="nil"/>
              <w:bottom w:val="nil"/>
              <w:right w:val="nil"/>
            </w:tcBorders>
            <w:shd w:val="clear" w:color="auto" w:fill="FFFFFF"/>
            <w:tcMar>
              <w:top w:w="300" w:type="dxa"/>
              <w:bottom w:w="300" w:type="dxa"/>
            </w:tcMar>
            <w:vAlign w:val="top"/>
          </w:tcPr>
          <w:p>
            <w:pPr>
              <w:keepNext w:val="0"/>
              <w:keepLines w:val="0"/>
              <w:widowControl/>
              <w:suppressLineNumbers w:val="0"/>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为增强工业企业综合竞争能力，推进全区工业经济快速健康发展，加快实现“工业强区”战略目标，经研究，决定选择一批重点企业和成长型企业，实行定向扶持、定位发展，力争用3年时间，培植30家以上年销售超亿元的规模企业。现就扶持培植工作，提出如下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坚持以科学发展观为指导，加大工业企业扶持培植力度，健全激励机制，强化服务措施，促进重点企业和成长型企业做大做强，推进全区工业经济快速崛起.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二、扶持培植对象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1.重点企业：2005年度销售超亿元、利税过1000万元且后三年保持较快增幅的企业。其中：5亿元以上企业，销售年递增20%以上，利税年递增25%以上；3-5亿元企业，销售年递增25%以上，利税年递增25%以上；1-3亿元企业，销售年递增30%以上，利税年递增25%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2.成长型企业：2005年度销售3000万元以上、利税过300万元且后三年保持较快增幅的企业，其中：5000万元以上企业，后三年销售年递增35%亿元以上，利税年递增30%以上；3000万元-5000万元企业，后三年销售年递增40%以上，利税年递增30%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3．2006-2008年期间，现有或新办工业企业发展规模可达重点企业或成长型企业条件的其他企业。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三、发展目标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1．2006年底，培育形成年销售收入超亿元企业18家以上。其中：年销售收入5-10亿元企业3家、2-5亿元企业2家、1-2亿元企业13家以上。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2．2007年底，培育形成年销售收入超亿元企业23家以上。其中：年销售收入5-10亿元企业4家、2-5亿元企业3家、1-2亿元企业16家以上。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3．2008年底，培育形成年销售收入超亿元企业30家以上。其中：年销售收入10亿元以上企业3家、5-10亿元企业2家、2-5亿元企业10家、1-2亿元企业15家以上。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四、扶持培植措施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1.对企业缴纳的增值税、所得税，有基数的企业以上年度实缴数为基数，新办企业及享受优惠政策期满的外资企业以第一个整年度实缴数为基数，年度实际缴纳税金超出规定增幅(重点企业每年递增10%、成长型企业每年递增15%)的部分，本级财政地方留成部分全部奖励给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2.对企业实施符合国家产业政策的竣工达产技术改造项目，次年新增开票销售收入达到技改投入的2倍、同时新增税金达到新增开票销售收入的5%，并且设备投入不低于总投入60%的，按技改投入年利率6%的标准给予贴息。技改投入1亿元以上项目贴息3年，技改投入5000万元以上项目贴息2年，技改投入3000万元以上项目贴息1年。跨年度阶段性竣工达产项目，按当年技改投入实绩进行核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3.区级征收的政府性基金，三年培育期内应缴基数不变。成长型企业以上年应缴数为基数，重点企业以上年应缴数的50%为基数。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4.企业研究开发新产品、新技术、新工艺的各项费用，比上年实际发生数增幅达到10%以上，其当年实际发生的费用按规定据实扣除外，年终经主管税务机关审核后再按实际发生额的50%直接抵扣当年纳税所得额。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5.对新认定的国家级“产业基地”、国家级“企业(工程)技术中心”、省“重点领域企业知识产权战略推进计划”项目和省级“企业(工程)技术中心”，分别给予50万元、30万元、10万元的一次性奖励。对实际研发费用达500万元以上的省级以上科技计划项目，项目完成后按实际研发费用的3%予以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6.对新创中国驰名商标、中国名牌产品以及国家免检产品的企业一次性奖励20万元；对新创省级著名商标或省级名牌产品的企业一次性奖励5万元。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7.加大对企业经营者的激励力度。企业年开票销售收入首次达10亿元，且当年入库税金3000万元以上的，一次性奖励企业经营者60万元；年开票销售收入首次达5亿元，且当年入库税金在1500万元以上的，一次性奖励企业经营者40万元；对年开票销售收入首次达3亿元，且当年入库税金在1000万元以上的，一次性奖励企业经营者20万元。优先推荐符合条件的企业经营者参加“劳模”、“中青年专家”等各项评选，贡献突出的，按程序提请授予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8.政府每年安排20万元专项资金，支持企业实施企业资源计划(ERP)等管理信息化项目。同时，安排专项经费用于企业高层管理人员的培训，提升企业经营管理者的综合素质。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9.对重点企业和成长型企业的项目建设用地、生产用电等生产要素的配置，政府优先安排。对企业的资金需求，政府积极组织银企对接活动，搭建融资平台，符合条件的企业，可由海诚担保公司提供融资担保服务，担保费用实行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上述第1、第2条扶持奖励资金，一律实行财政专户储存，专项用于企业技改投入。外资企业在享受优惠政策期间，实施重大技改项目的，其扶持奖励办法实行一企一议。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五、组织领导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一)成立海陵区培大育强工业企业工作领导小组。由区政府主要负责人任组长，区人大、区政府、区政协有关负责人任副组长，区相关部门主要负责人为成员。领导小组下设办公室，具体负责日常工作。领导小组定期召开培大育强工业企业发展情况联席会议，研究解决企业发展过程中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(二)建立区领导挂钩联系制度。加强对重点企业和成长型企业培大育强工作的指导和服务，协调解决企业发展过程中遇到的具体矛盾和问题，帮助挂钩企业按期实现发展目标。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(三)设立海陵区工业发展专项资金，主要用于扶持培植重点企业和成长型企业的发展。凡属于区财政安排的技改贴息、新产品开发费用、财政地方留成部分奖励资金等，均纳入工业发展专项资金.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四)扶持奖励考评工作由领导小组办公室牵头，区经贸、科技、财政、统计、审计、安监、税务等部门参加。每年根据企业年度发展目标责任书及相关部门提供的数据实施考评，对实现年度发展目标的企业，由考评领导小组提请区委、区政府批准享受相关扶持奖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六、其它事项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一)企业主要负责人有重大违法行为的，取消其个人奖励。企业当年发生重大安全责任事故、环境污染事故，不能实现年度发展目标，不按规定缴纳各项税费、政府性基金的不享受扶持奖励政策。凡因弄虚作假套取政府扶持奖励资金的，一经查实，给予通报批评，并追回扶持奖励资金，取消相关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二)本意见中各项扶持奖励政策按照“谁收益、谁扶持、谁奖励”的原则组织兑现。按现行财政体制，区属企业扶持奖励资金由区财政解决，乡镇、街道、海陵工业园区企业扶持奖励资金由所属乡镇、街道、海陵工业园区财政解决。其中：乡镇、街道、海陵工业园区企业技改项目贴息资金由区财政和乡镇、街道、海陵工业园区各承担50%。各项扶持奖励资金由区财政统一扎口兑现，相关资金由区财政与乡镇、街道、海陵工业园区进行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(三)本意见所涉及的奖励内容如与其他政策重复，按照就高原则计发，不得重复享受。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(四)本意见自2006年1月1日起施行，泰海委发［2005］12号《关于培大育强工业企业若干意见(试行)》终止执行。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(五)本意见由区经贸委负责解释。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中共泰州市海陵区委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海陵区人民政府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textAlignment w:val="baseline"/>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vertAlign w:val="baseline"/>
                <w:lang w:val="en-US" w:eastAsia="zh-CN" w:bidi="ar"/>
              </w:rPr>
              <w:t>                                                            二○○六年七月二十八日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46C68"/>
    <w:rsid w:val="5FD46C68"/>
    <w:rsid w:val="6D535020"/>
    <w:rsid w:val="736E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2018-07-10T06:21:00Z</dcterms:created>
  <dc:creator>栾晓琴</dc:creator>
  <cp:lastModifiedBy>栾晓琴</cp:lastModifiedBy>
  <dcterms:modified xsi:type="dcterms:W3CDTF">2018-07-10T06:22:30Z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