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DDF" w:rsidRPr="002E7DDF" w:rsidRDefault="002E7DDF" w:rsidP="002E7DDF">
      <w:pPr>
        <w:widowControl/>
        <w:shd w:val="clear" w:color="auto" w:fill="FFFFFF"/>
        <w:spacing w:line="750" w:lineRule="atLeast"/>
        <w:jc w:val="center"/>
        <w:rPr>
          <w:rFonts w:ascii="微软雅黑" w:eastAsia="微软雅黑" w:hAnsi="微软雅黑" w:cs="宋体"/>
          <w:color w:val="DB0002"/>
          <w:kern w:val="0"/>
          <w:sz w:val="36"/>
          <w:szCs w:val="36"/>
        </w:rPr>
      </w:pPr>
      <w:r w:rsidRPr="002E7DDF">
        <w:rPr>
          <w:rFonts w:ascii="微软雅黑" w:eastAsia="微软雅黑" w:hAnsi="微软雅黑" w:cs="宋体" w:hint="eastAsia"/>
          <w:color w:val="DB0002"/>
          <w:kern w:val="0"/>
          <w:sz w:val="36"/>
          <w:szCs w:val="36"/>
        </w:rPr>
        <w:t>关于《建立正向激励机制促进有效投资的十二条措施（试行）》的政策解读</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微软雅黑" w:eastAsia="微软雅黑" w:hAnsi="微软雅黑" w:cs="宋体" w:hint="eastAsia"/>
          <w:color w:val="555555"/>
          <w:kern w:val="0"/>
          <w:szCs w:val="21"/>
        </w:rPr>
        <w:t xml:space="preserve">　　</w:t>
      </w:r>
      <w:r w:rsidRPr="002E7DDF">
        <w:rPr>
          <w:rFonts w:ascii="Calibri" w:eastAsia="仿宋" w:hAnsi="Calibri" w:cs="Calibri"/>
          <w:color w:val="555555"/>
          <w:kern w:val="0"/>
          <w:sz w:val="27"/>
          <w:szCs w:val="27"/>
        </w:rPr>
        <w:t> </w:t>
      </w:r>
      <w:r w:rsidRPr="002E7DDF">
        <w:rPr>
          <w:rFonts w:ascii="仿宋" w:eastAsia="仿宋" w:hAnsi="仿宋" w:cs="宋体" w:hint="eastAsia"/>
          <w:color w:val="555555"/>
          <w:kern w:val="0"/>
          <w:sz w:val="27"/>
          <w:szCs w:val="27"/>
        </w:rPr>
        <w:t>一、出台背景</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为贯彻落实《中共福建省委办公厅、福建省人民政府办公厅印发〈关于建立正向激励机制促进有效投资的八条措施（试行）〉的通知》（闽委办发〔2017〕4号）要求，进一步加大正向激励力度，推动各地打好项目攻坚战，积极扩大有效投资，形成奋发有为、敢于担当的良好氛围，为建设“五个泉州”</w:t>
      </w:r>
      <w:proofErr w:type="gramStart"/>
      <w:r w:rsidRPr="002E7DDF">
        <w:rPr>
          <w:rFonts w:ascii="仿宋" w:eastAsia="仿宋" w:hAnsi="仿宋" w:cs="宋体" w:hint="eastAsia"/>
          <w:color w:val="555555"/>
          <w:kern w:val="0"/>
          <w:sz w:val="27"/>
          <w:szCs w:val="27"/>
        </w:rPr>
        <w:t>作出</w:t>
      </w:r>
      <w:proofErr w:type="gramEnd"/>
      <w:r w:rsidRPr="002E7DDF">
        <w:rPr>
          <w:rFonts w:ascii="仿宋" w:eastAsia="仿宋" w:hAnsi="仿宋" w:cs="宋体" w:hint="eastAsia"/>
          <w:color w:val="555555"/>
          <w:kern w:val="0"/>
          <w:sz w:val="27"/>
          <w:szCs w:val="27"/>
        </w:rPr>
        <w:t>更大贡献，提出本措施。</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二、文件主要内容</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关于建立正向激励机制促进有效投资的十二条措施（试行）》共12条，除在贯彻落实省上8条措施的基础上，根据市直有关部门讨论情况，新增“加大技改投资力度”、“实施‘第三产业提升年’活动”、“加大安征迁力度”、“加大金融支持力度”等4项激励政策。</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1、加快组织实施投资工程包。积极对接2017年省级投资工程包投资领域，围绕自主创新示范区、中国制造2025、生态文明试验区、特色小镇等改革试点及灾后重建、水环境治理、基础设施提升等民生热点，策划若干个滚动投资周期长、短期见效快、资金争取面宽的项目群，不断充实和拓展投资工程</w:t>
      </w:r>
      <w:proofErr w:type="gramStart"/>
      <w:r w:rsidRPr="002E7DDF">
        <w:rPr>
          <w:rFonts w:ascii="仿宋" w:eastAsia="仿宋" w:hAnsi="仿宋" w:cs="宋体" w:hint="eastAsia"/>
          <w:color w:val="555555"/>
          <w:kern w:val="0"/>
          <w:sz w:val="27"/>
          <w:szCs w:val="27"/>
        </w:rPr>
        <w:t>包实施</w:t>
      </w:r>
      <w:proofErr w:type="gramEnd"/>
      <w:r w:rsidRPr="002E7DDF">
        <w:rPr>
          <w:rFonts w:ascii="仿宋" w:eastAsia="仿宋" w:hAnsi="仿宋" w:cs="宋体" w:hint="eastAsia"/>
          <w:color w:val="555555"/>
          <w:kern w:val="0"/>
          <w:sz w:val="27"/>
          <w:szCs w:val="27"/>
        </w:rPr>
        <w:t>范围和内容。将纳入工程包的项目视同重点项目，符合条件的优先支持争取省级PPP引导基金。</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2、加快推进“五个一批”项目建设。2017年将开展“晒签约、晒开工、晒投产、晒质量、晒成效”大</w:t>
      </w:r>
      <w:proofErr w:type="gramStart"/>
      <w:r w:rsidRPr="002E7DDF">
        <w:rPr>
          <w:rFonts w:ascii="仿宋" w:eastAsia="仿宋" w:hAnsi="仿宋" w:cs="宋体" w:hint="eastAsia"/>
          <w:color w:val="555555"/>
          <w:kern w:val="0"/>
          <w:sz w:val="27"/>
          <w:szCs w:val="27"/>
        </w:rPr>
        <w:t>晒项目</w:t>
      </w:r>
      <w:proofErr w:type="gramEnd"/>
      <w:r w:rsidRPr="002E7DDF">
        <w:rPr>
          <w:rFonts w:ascii="仿宋" w:eastAsia="仿宋" w:hAnsi="仿宋" w:cs="宋体" w:hint="eastAsia"/>
          <w:color w:val="555555"/>
          <w:kern w:val="0"/>
          <w:sz w:val="27"/>
          <w:szCs w:val="27"/>
        </w:rPr>
        <w:t>活动，推动“五个一批”</w:t>
      </w:r>
      <w:r w:rsidRPr="002E7DDF">
        <w:rPr>
          <w:rFonts w:ascii="仿宋" w:eastAsia="仿宋" w:hAnsi="仿宋" w:cs="宋体" w:hint="eastAsia"/>
          <w:color w:val="555555"/>
          <w:kern w:val="0"/>
          <w:sz w:val="27"/>
          <w:szCs w:val="27"/>
        </w:rPr>
        <w:lastRenderedPageBreak/>
        <w:t>机制具体化，推动各地加强项目动态管理。每年7月、次年1月，</w:t>
      </w:r>
      <w:proofErr w:type="gramStart"/>
      <w:r w:rsidRPr="002E7DDF">
        <w:rPr>
          <w:rFonts w:ascii="仿宋" w:eastAsia="仿宋" w:hAnsi="仿宋" w:cs="宋体" w:hint="eastAsia"/>
          <w:color w:val="555555"/>
          <w:kern w:val="0"/>
          <w:sz w:val="27"/>
          <w:szCs w:val="27"/>
        </w:rPr>
        <w:t>市发改委</w:t>
      </w:r>
      <w:proofErr w:type="gramEnd"/>
      <w:r w:rsidRPr="002E7DDF">
        <w:rPr>
          <w:rFonts w:ascii="仿宋" w:eastAsia="仿宋" w:hAnsi="仿宋" w:cs="宋体" w:hint="eastAsia"/>
          <w:color w:val="555555"/>
          <w:kern w:val="0"/>
          <w:sz w:val="27"/>
          <w:szCs w:val="27"/>
        </w:rPr>
        <w:t>将对“五个一批”项目中新开工项目数量和实际完成投资额增幅位居全市前3名的县（市、区）、前3名的市直部门，分别奖励50万元前期工作经费。</w:t>
      </w:r>
      <w:r w:rsidR="006433C6">
        <w:rPr>
          <w:rFonts w:ascii="仿宋" w:eastAsia="仿宋" w:hAnsi="仿宋" w:cs="宋体"/>
          <w:color w:val="555555"/>
          <w:kern w:val="0"/>
          <w:sz w:val="27"/>
          <w:szCs w:val="27"/>
        </w:rPr>
        <w:tab/>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3、加大招商引资力度。市商务局每年组织省级及以上工业园区招商绩效考评，招商成效前3名的园区分别按150万元、100万元、50万元予以经费补助；其他工业园区由市经</w:t>
      </w:r>
      <w:proofErr w:type="gramStart"/>
      <w:r w:rsidRPr="002E7DDF">
        <w:rPr>
          <w:rFonts w:ascii="仿宋" w:eastAsia="仿宋" w:hAnsi="仿宋" w:cs="宋体" w:hint="eastAsia"/>
          <w:color w:val="555555"/>
          <w:kern w:val="0"/>
          <w:sz w:val="27"/>
          <w:szCs w:val="27"/>
        </w:rPr>
        <w:t>信委每年</w:t>
      </w:r>
      <w:proofErr w:type="gramEnd"/>
      <w:r w:rsidRPr="002E7DDF">
        <w:rPr>
          <w:rFonts w:ascii="仿宋" w:eastAsia="仿宋" w:hAnsi="仿宋" w:cs="宋体" w:hint="eastAsia"/>
          <w:color w:val="555555"/>
          <w:kern w:val="0"/>
          <w:sz w:val="27"/>
          <w:szCs w:val="27"/>
        </w:rPr>
        <w:t>组织招商绩效考评，招商成效前3名的园区分别按100万元、80万元、50万元予以经费补助。绩效考评所需奖励经费补助纳入次年财政预算进行统筹解决。</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4、进一步激发民间投资活力。推动上市公司实施并购重组做大做强，鼓励上市公司法人股东发行债券，引导企业拓宽直接融资渠道。鼓励境外上市企业返程投资，按照当年度企业实际使用外资额分档次予以奖励。推进泉州市产业股权投资基金及</w:t>
      </w:r>
      <w:proofErr w:type="gramStart"/>
      <w:r w:rsidRPr="002E7DDF">
        <w:rPr>
          <w:rFonts w:ascii="仿宋" w:eastAsia="仿宋" w:hAnsi="仿宋" w:cs="宋体" w:hint="eastAsia"/>
          <w:color w:val="555555"/>
          <w:kern w:val="0"/>
          <w:sz w:val="27"/>
          <w:szCs w:val="27"/>
        </w:rPr>
        <w:t>子基金</w:t>
      </w:r>
      <w:proofErr w:type="gramEnd"/>
      <w:r w:rsidRPr="002E7DDF">
        <w:rPr>
          <w:rFonts w:ascii="仿宋" w:eastAsia="仿宋" w:hAnsi="仿宋" w:cs="宋体" w:hint="eastAsia"/>
          <w:color w:val="555555"/>
          <w:kern w:val="0"/>
          <w:sz w:val="27"/>
          <w:szCs w:val="27"/>
        </w:rPr>
        <w:t>加快运作，提高重点项目中民营企业投资项目所占比重。</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5、加大技改投资力度。对获得省级智能制造试点示范基地的县（市、区）予以奖励300万元。采用设备补助、融资租赁补助等方式支持企业开展技术改造，支持具有投资效应的技改项目申报国家、省级专项资金，支持企业申报省技术改造基金。对技改投资任务完成较好的县（市、区），市工业经济和信息化发展专项资金对其申报的技改项目优先予以支持。</w:t>
      </w:r>
      <w:bookmarkStart w:id="0" w:name="_GoBack"/>
      <w:bookmarkEnd w:id="0"/>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lastRenderedPageBreak/>
        <w:t xml:space="preserve">　　6、实施“第三产业提升年”活动。参照省上做法，2017-2018年，每年从市级产业转型升级引导资金中安排500万元专项经费用于制造业主辅分离企业扶持和奖励。对完成“第三产业提升年”相关工作任务较好的县（市、区）和市直有关部门，优先推荐项目（企业）申报国家、省级服务业发展引导资金和相关专项资金。</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7、加大安征迁力度。允许市、县两级项目安征迁指挥部从公车平台派车，用于征收公务活动；市、县两级车改部门将项目安征迁指挥部纳入政府公车平台进行保障；市、县两级财政部门按项目征收面积量将派车经费分级纳入财政预算。</w:t>
      </w:r>
      <w:proofErr w:type="gramStart"/>
      <w:r w:rsidRPr="002E7DDF">
        <w:rPr>
          <w:rFonts w:ascii="仿宋" w:eastAsia="仿宋" w:hAnsi="仿宋" w:cs="宋体" w:hint="eastAsia"/>
          <w:color w:val="555555"/>
          <w:kern w:val="0"/>
          <w:sz w:val="27"/>
          <w:szCs w:val="27"/>
        </w:rPr>
        <w:t>市发改委</w:t>
      </w:r>
      <w:proofErr w:type="gramEnd"/>
      <w:r w:rsidRPr="002E7DDF">
        <w:rPr>
          <w:rFonts w:ascii="仿宋" w:eastAsia="仿宋" w:hAnsi="仿宋" w:cs="宋体" w:hint="eastAsia"/>
          <w:color w:val="555555"/>
          <w:kern w:val="0"/>
          <w:sz w:val="27"/>
          <w:szCs w:val="27"/>
        </w:rPr>
        <w:t>每年7月、次年1月将对征迁完成前3名的县（市、区）、征迁配合较好的市直部门分别奖励30万元的前期经费。市住建局按照市政府有关规定并结合实际研究制定加快中心市区项目征收工作的意见，以适应征收工作顺利推进的需求。</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8、完善资金安排与工作实效挂钩机制。建立重点领域投资完成情况与相关资金、资源的分配和奖励挂钩制度，向工作干得多干得好的地方和部门倾斜。将重大水利工程、棚户区改造、铁路、环境保护治理工程、城市地下综合管廊、机场、轨道交通、高速公路等建设项目优先纳入向上争取专项资金补助和争取国家专项建设资金贷款的盘子，并给予一定的前期经费补助。新发行企业债券用于城市公用设施项目建设的，按债券当年规模给予发债企业1%的贴息，贴息资金由省级财政和项目所在地财政各承担50%。</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lastRenderedPageBreak/>
        <w:t xml:space="preserve">　　9、加大金融支持力度。推动设立市、县两级政策性融资担保机构，争取省级注资，增强政策性融资担保机构实力。支持银行与融资性担保公司加强合作，建立合理的银担风险分担机制。各级财政可统一通过建立担保风险代偿补偿机制对融资性担保机构代偿进行适当补偿。</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10、加强分级分类管理。属于市直有关部门、单位（包括央企）负责建设的项目，跨县（市、区）项目及铁路、高速公路、输变电、油气管线项目，由市直有关部门、单位为主负责推进；其余项目按属地管理原则，由各县（市、区）政府和泉州开发区、泉州台商投资区管委会为主负责协调推进。政府项目、民企项目、外资项目分别由</w:t>
      </w:r>
      <w:proofErr w:type="gramStart"/>
      <w:r w:rsidRPr="002E7DDF">
        <w:rPr>
          <w:rFonts w:ascii="仿宋" w:eastAsia="仿宋" w:hAnsi="仿宋" w:cs="宋体" w:hint="eastAsia"/>
          <w:color w:val="555555"/>
          <w:kern w:val="0"/>
          <w:sz w:val="27"/>
          <w:szCs w:val="27"/>
        </w:rPr>
        <w:t>市发改委</w:t>
      </w:r>
      <w:proofErr w:type="gramEnd"/>
      <w:r w:rsidRPr="002E7DDF">
        <w:rPr>
          <w:rFonts w:ascii="仿宋" w:eastAsia="仿宋" w:hAnsi="仿宋" w:cs="宋体" w:hint="eastAsia"/>
          <w:color w:val="555555"/>
          <w:kern w:val="0"/>
          <w:sz w:val="27"/>
          <w:szCs w:val="27"/>
        </w:rPr>
        <w:t>、经信委、商务局牵头协同推进。实行正向激励机制，对推动项目成效明显、创造典型经验做法，予以通报表扬。坚持绩效导向，优化完善绩效管理考评体系，将重点项目建设、促进有效投资纳入绩效考评内容，重点加大对项目谋划生成、招商签约、新开工建设、建成投产、征迁工作以及固定资产投资、技改增资等工作的绩效管理，探索对项目攻坚、固定资产投资等工作进行另外绩效加分予以正向激励。</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t xml:space="preserve">　　11、促进项目审批提速提效。合理设置绩效激励指标与约束指标，加大对主动深化审批改革、提升服务水平的部门和地区的绩效激励，对绩效二级考评指标下设若干三级指标并分别由不同部门负责采集的，在兑现奖惩措施时，按各采集部门在全省、全市排名情况进行奖励或惩处。</w:t>
      </w:r>
    </w:p>
    <w:p w:rsidR="002E7DDF" w:rsidRPr="002E7DDF" w:rsidRDefault="002E7DDF" w:rsidP="002E7DDF">
      <w:pPr>
        <w:widowControl/>
        <w:shd w:val="clear" w:color="auto" w:fill="FFFFFF"/>
        <w:spacing w:line="540" w:lineRule="atLeast"/>
        <w:jc w:val="left"/>
        <w:rPr>
          <w:rFonts w:ascii="微软雅黑" w:eastAsia="微软雅黑" w:hAnsi="微软雅黑" w:cs="宋体"/>
          <w:color w:val="555555"/>
          <w:kern w:val="0"/>
          <w:szCs w:val="21"/>
        </w:rPr>
      </w:pPr>
      <w:r w:rsidRPr="002E7DDF">
        <w:rPr>
          <w:rFonts w:ascii="仿宋" w:eastAsia="仿宋" w:hAnsi="仿宋" w:cs="宋体" w:hint="eastAsia"/>
          <w:color w:val="555555"/>
          <w:kern w:val="0"/>
          <w:sz w:val="27"/>
          <w:szCs w:val="27"/>
        </w:rPr>
        <w:lastRenderedPageBreak/>
        <w:t xml:space="preserve">　　12、强化一线培养、考察、激励干部。注重以实际工作成效评价干部，全面实施《中共泉州市委办公室转发〈市委组织部关于激励干部提升干事创业精气神的八条措施〉的通知》（泉委办发〔2017〕12号），在征地拆迁、重点项目建设、“第三产业提升年”等急难险重任务一线培养锻炼干部、考察使用干部。注重考用结合，将考察结果作为干部培养、使用和奖惩的重要依据，重用在一线真抓实干、敢于担当尽责、工作成效突出的干部，形成重基层、重实干、重实绩的鲜明导向。</w:t>
      </w:r>
    </w:p>
    <w:p w:rsidR="00990DFB" w:rsidRDefault="00990DFB"/>
    <w:sectPr w:rsidR="00990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3"/>
    <w:rsid w:val="002E7DDF"/>
    <w:rsid w:val="006433C6"/>
    <w:rsid w:val="0070229C"/>
    <w:rsid w:val="007A28F3"/>
    <w:rsid w:val="0099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23ACA-EAC9-4BBC-88E8-2B2C6EB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7DD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9991">
      <w:bodyDiv w:val="1"/>
      <w:marLeft w:val="0"/>
      <w:marRight w:val="0"/>
      <w:marTop w:val="0"/>
      <w:marBottom w:val="0"/>
      <w:divBdr>
        <w:top w:val="none" w:sz="0" w:space="0" w:color="auto"/>
        <w:left w:val="none" w:sz="0" w:space="0" w:color="auto"/>
        <w:bottom w:val="none" w:sz="0" w:space="0" w:color="auto"/>
        <w:right w:val="none" w:sz="0" w:space="0" w:color="auto"/>
      </w:divBdr>
      <w:divsChild>
        <w:div w:id="1590961873">
          <w:marLeft w:val="0"/>
          <w:marRight w:val="0"/>
          <w:marTop w:val="225"/>
          <w:marBottom w:val="0"/>
          <w:divBdr>
            <w:top w:val="none" w:sz="0" w:space="0" w:color="auto"/>
            <w:left w:val="none" w:sz="0" w:space="0" w:color="auto"/>
            <w:bottom w:val="none" w:sz="0" w:space="0" w:color="auto"/>
            <w:right w:val="none" w:sz="0" w:space="0" w:color="auto"/>
          </w:divBdr>
          <w:divsChild>
            <w:div w:id="1558122366">
              <w:marLeft w:val="0"/>
              <w:marRight w:val="0"/>
              <w:marTop w:val="0"/>
              <w:marBottom w:val="0"/>
              <w:divBdr>
                <w:top w:val="none" w:sz="0" w:space="0" w:color="auto"/>
                <w:left w:val="none" w:sz="0" w:space="0" w:color="auto"/>
                <w:bottom w:val="none" w:sz="0" w:space="0" w:color="auto"/>
                <w:right w:val="none" w:sz="0" w:space="0" w:color="auto"/>
              </w:divBdr>
              <w:divsChild>
                <w:div w:id="3674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378</Words>
  <Characters>2159</Characters>
  <Application>Microsoft Office Word</Application>
  <DocSecurity>0</DocSecurity>
  <Lines>17</Lines>
  <Paragraphs>5</Paragraphs>
  <ScaleCrop>false</ScaleCrop>
  <Company>微软中国</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2019-01-02T04:09:00Z</dcterms:created>
  <dcterms:modified xsi:type="dcterms:W3CDTF">2019-01-02T07:15:00Z</dcterms:modified>
</cp:coreProperties>
</file>