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475"/>
      </w:tblGrid>
      <w:tr w:rsidR="00FF48A9" w:rsidRPr="00FF48A9">
        <w:trPr>
          <w:trHeight w:val="370"/>
          <w:tblCellSpacing w:w="15" w:type="dxa"/>
          <w:jc w:val="center"/>
        </w:trPr>
        <w:tc>
          <w:tcPr>
            <w:tcW w:w="0" w:type="auto"/>
            <w:vAlign w:val="center"/>
            <w:hideMark/>
          </w:tcPr>
          <w:p w:rsidR="00FF48A9" w:rsidRPr="00FF48A9" w:rsidRDefault="00FF48A9" w:rsidP="00FF48A9">
            <w:pPr>
              <w:widowControl/>
              <w:jc w:val="center"/>
              <w:rPr>
                <w:rFonts w:ascii="宋体" w:eastAsia="宋体" w:hAnsi="宋体" w:cs="宋体"/>
                <w:b/>
                <w:bCs/>
                <w:color w:val="5C5C5C"/>
                <w:kern w:val="0"/>
                <w:sz w:val="32"/>
                <w:szCs w:val="32"/>
              </w:rPr>
            </w:pPr>
            <w:bookmarkStart w:id="0" w:name="_GoBack"/>
            <w:r w:rsidRPr="00FF48A9">
              <w:rPr>
                <w:rFonts w:ascii="宋体" w:eastAsia="宋体" w:hAnsi="宋体" w:cs="宋体"/>
                <w:b/>
                <w:bCs/>
                <w:color w:val="5C5C5C"/>
                <w:kern w:val="0"/>
                <w:sz w:val="32"/>
                <w:szCs w:val="32"/>
              </w:rPr>
              <w:t>中共金乡县委 金乡县人民政府关于打造就业创业集聚高地的实施意见</w:t>
            </w:r>
            <w:bookmarkEnd w:id="0"/>
          </w:p>
        </w:tc>
      </w:tr>
      <w:tr w:rsidR="00FF48A9" w:rsidRPr="00FF48A9">
        <w:trPr>
          <w:tblCellSpacing w:w="15" w:type="dxa"/>
          <w:jc w:val="center"/>
        </w:trPr>
        <w:tc>
          <w:tcPr>
            <w:tcW w:w="0" w:type="auto"/>
            <w:vAlign w:val="center"/>
            <w:hideMark/>
          </w:tcPr>
          <w:p w:rsidR="00FF48A9" w:rsidRPr="00FF48A9" w:rsidRDefault="00FF48A9" w:rsidP="00FF48A9">
            <w:pPr>
              <w:widowControl/>
              <w:jc w:val="center"/>
              <w:rPr>
                <w:rFonts w:ascii="宋体" w:eastAsia="宋体" w:hAnsi="宋体" w:cs="宋体"/>
                <w:color w:val="5C5C5C"/>
                <w:kern w:val="0"/>
                <w:sz w:val="18"/>
                <w:szCs w:val="18"/>
              </w:rPr>
            </w:pPr>
            <w:r w:rsidRPr="00FF48A9">
              <w:rPr>
                <w:rFonts w:ascii="宋体" w:eastAsia="宋体" w:hAnsi="宋体" w:cs="宋体"/>
                <w:color w:val="5C5C5C"/>
                <w:kern w:val="0"/>
                <w:sz w:val="18"/>
                <w:szCs w:val="18"/>
              </w:rPr>
              <w:pict>
                <v:rect id="_x0000_i1025" style="width:0;height:.5pt" o:hralign="center" o:hrstd="t" o:hrnoshade="t" o:hr="t" fillcolor="#ddd" stroked="f"/>
              </w:pict>
            </w:r>
          </w:p>
          <w:tbl>
            <w:tblPr>
              <w:tblW w:w="3500" w:type="pct"/>
              <w:jc w:val="center"/>
              <w:tblCellSpacing w:w="15" w:type="dxa"/>
              <w:tblCellMar>
                <w:top w:w="15" w:type="dxa"/>
                <w:left w:w="15" w:type="dxa"/>
                <w:bottom w:w="15" w:type="dxa"/>
                <w:right w:w="15" w:type="dxa"/>
              </w:tblCellMar>
              <w:tblLook w:val="04A0" w:firstRow="1" w:lastRow="0" w:firstColumn="1" w:lastColumn="0" w:noHBand="0" w:noVBand="1"/>
            </w:tblPr>
            <w:tblGrid>
              <w:gridCol w:w="2065"/>
              <w:gridCol w:w="1545"/>
              <w:gridCol w:w="1560"/>
            </w:tblGrid>
            <w:tr w:rsidR="00FF48A9" w:rsidRPr="00FF48A9">
              <w:trPr>
                <w:tblCellSpacing w:w="15" w:type="dxa"/>
                <w:jc w:val="center"/>
              </w:trPr>
              <w:tc>
                <w:tcPr>
                  <w:tcW w:w="2000" w:type="pct"/>
                  <w:vAlign w:val="center"/>
                  <w:hideMark/>
                </w:tcPr>
                <w:p w:rsidR="00FF48A9" w:rsidRPr="00FF48A9" w:rsidRDefault="00FF48A9" w:rsidP="00FF48A9">
                  <w:pPr>
                    <w:widowControl/>
                    <w:jc w:val="center"/>
                    <w:rPr>
                      <w:rFonts w:ascii="宋体" w:eastAsia="宋体" w:hAnsi="宋体" w:cs="宋体"/>
                      <w:color w:val="5C5C5C"/>
                      <w:kern w:val="0"/>
                      <w:sz w:val="18"/>
                      <w:szCs w:val="18"/>
                    </w:rPr>
                  </w:pPr>
                  <w:r w:rsidRPr="00FF48A9">
                    <w:rPr>
                      <w:rFonts w:ascii="宋体" w:eastAsia="宋体" w:hAnsi="宋体" w:cs="宋体"/>
                      <w:color w:val="5C5C5C"/>
                      <w:kern w:val="0"/>
                      <w:sz w:val="18"/>
                      <w:szCs w:val="18"/>
                    </w:rPr>
                    <w:t xml:space="preserve">发布日期：2017-09-26 09:11:33 </w:t>
                  </w:r>
                </w:p>
              </w:tc>
              <w:tc>
                <w:tcPr>
                  <w:tcW w:w="0" w:type="auto"/>
                  <w:vAlign w:val="center"/>
                  <w:hideMark/>
                </w:tcPr>
                <w:p w:rsidR="00FF48A9" w:rsidRPr="00FF48A9" w:rsidRDefault="00FF48A9" w:rsidP="00FF48A9">
                  <w:pPr>
                    <w:widowControl/>
                    <w:jc w:val="center"/>
                    <w:rPr>
                      <w:rFonts w:ascii="宋体" w:eastAsia="宋体" w:hAnsi="宋体" w:cs="宋体"/>
                      <w:color w:val="5C5C5C"/>
                      <w:kern w:val="0"/>
                      <w:sz w:val="18"/>
                      <w:szCs w:val="18"/>
                    </w:rPr>
                  </w:pPr>
                  <w:r w:rsidRPr="00FF48A9">
                    <w:rPr>
                      <w:rFonts w:ascii="宋体" w:eastAsia="宋体" w:hAnsi="宋体" w:cs="宋体"/>
                      <w:color w:val="5C5C5C"/>
                      <w:kern w:val="0"/>
                      <w:sz w:val="18"/>
                      <w:szCs w:val="18"/>
                    </w:rPr>
                    <w:t xml:space="preserve">访问次数: </w:t>
                  </w:r>
                  <w:r w:rsidRPr="00FF48A9">
                    <w:rPr>
                      <w:rFonts w:ascii="宋体" w:eastAsia="宋体" w:hAnsi="宋体" w:cs="宋体"/>
                      <w:color w:val="5C5C5C"/>
                      <w:kern w:val="0"/>
                      <w:sz w:val="18"/>
                      <w:szCs w:val="18"/>
                    </w:rPr>
                    <w:pict/>
                  </w:r>
                  <w:r w:rsidRPr="00FF48A9">
                    <w:rPr>
                      <w:rFonts w:ascii="宋体" w:eastAsia="宋体" w:hAnsi="宋体" w:cs="宋体"/>
                      <w:color w:val="5C5C5C"/>
                      <w:kern w:val="0"/>
                      <w:sz w:val="18"/>
                      <w:szCs w:val="18"/>
                    </w:rPr>
                    <w:t>6</w:t>
                  </w:r>
                </w:p>
              </w:tc>
              <w:tc>
                <w:tcPr>
                  <w:tcW w:w="1500" w:type="pct"/>
                  <w:vAlign w:val="center"/>
                  <w:hideMark/>
                </w:tcPr>
                <w:p w:rsidR="00FF48A9" w:rsidRPr="00FF48A9" w:rsidRDefault="00FF48A9" w:rsidP="00FF48A9">
                  <w:pPr>
                    <w:widowControl/>
                    <w:jc w:val="center"/>
                    <w:rPr>
                      <w:rFonts w:ascii="宋体" w:eastAsia="宋体" w:hAnsi="宋体" w:cs="宋体"/>
                      <w:color w:val="5C5C5C"/>
                      <w:kern w:val="0"/>
                      <w:sz w:val="18"/>
                      <w:szCs w:val="18"/>
                    </w:rPr>
                  </w:pPr>
                  <w:r w:rsidRPr="00FF48A9">
                    <w:rPr>
                      <w:rFonts w:ascii="宋体" w:eastAsia="宋体" w:hAnsi="宋体" w:cs="宋体"/>
                      <w:color w:val="5C5C5C"/>
                      <w:kern w:val="0"/>
                      <w:sz w:val="18"/>
                      <w:szCs w:val="18"/>
                    </w:rPr>
                    <w:t xml:space="preserve">字号：[ </w:t>
                  </w:r>
                  <w:hyperlink r:id="rId4" w:history="1">
                    <w:r w:rsidRPr="00FF48A9">
                      <w:rPr>
                        <w:rFonts w:ascii="宋体" w:eastAsia="宋体" w:hAnsi="宋体" w:cs="宋体"/>
                        <w:color w:val="5C5C5C"/>
                        <w:kern w:val="0"/>
                        <w:sz w:val="18"/>
                        <w:szCs w:val="18"/>
                      </w:rPr>
                      <w:t>大</w:t>
                    </w:r>
                  </w:hyperlink>
                  <w:r w:rsidRPr="00FF48A9">
                    <w:rPr>
                      <w:rFonts w:ascii="宋体" w:eastAsia="宋体" w:hAnsi="宋体" w:cs="宋体"/>
                      <w:color w:val="5C5C5C"/>
                      <w:kern w:val="0"/>
                      <w:sz w:val="18"/>
                      <w:szCs w:val="18"/>
                    </w:rPr>
                    <w:t xml:space="preserve"> </w:t>
                  </w:r>
                  <w:hyperlink r:id="rId5" w:history="1">
                    <w:r w:rsidRPr="00FF48A9">
                      <w:rPr>
                        <w:rFonts w:ascii="宋体" w:eastAsia="宋体" w:hAnsi="宋体" w:cs="宋体"/>
                        <w:color w:val="5C5C5C"/>
                        <w:kern w:val="0"/>
                        <w:sz w:val="18"/>
                        <w:szCs w:val="18"/>
                      </w:rPr>
                      <w:t>中</w:t>
                    </w:r>
                  </w:hyperlink>
                  <w:r w:rsidRPr="00FF48A9">
                    <w:rPr>
                      <w:rFonts w:ascii="宋体" w:eastAsia="宋体" w:hAnsi="宋体" w:cs="宋体"/>
                      <w:color w:val="5C5C5C"/>
                      <w:kern w:val="0"/>
                      <w:sz w:val="18"/>
                      <w:szCs w:val="18"/>
                    </w:rPr>
                    <w:t xml:space="preserve"> </w:t>
                  </w:r>
                  <w:hyperlink r:id="rId6" w:history="1">
                    <w:r w:rsidRPr="00FF48A9">
                      <w:rPr>
                        <w:rFonts w:ascii="宋体" w:eastAsia="宋体" w:hAnsi="宋体" w:cs="宋体"/>
                        <w:color w:val="5C5C5C"/>
                        <w:kern w:val="0"/>
                        <w:sz w:val="18"/>
                        <w:szCs w:val="18"/>
                      </w:rPr>
                      <w:t>小</w:t>
                    </w:r>
                  </w:hyperlink>
                  <w:r w:rsidRPr="00FF48A9">
                    <w:rPr>
                      <w:rFonts w:ascii="宋体" w:eastAsia="宋体" w:hAnsi="宋体" w:cs="宋体"/>
                      <w:color w:val="5C5C5C"/>
                      <w:kern w:val="0"/>
                      <w:sz w:val="18"/>
                      <w:szCs w:val="18"/>
                    </w:rPr>
                    <w:t xml:space="preserve"> ]</w:t>
                  </w:r>
                </w:p>
              </w:tc>
            </w:tr>
          </w:tbl>
          <w:p w:rsidR="00FF48A9" w:rsidRPr="00FF48A9" w:rsidRDefault="00FF48A9" w:rsidP="00FF48A9">
            <w:pPr>
              <w:widowControl/>
              <w:jc w:val="center"/>
              <w:rPr>
                <w:rFonts w:ascii="宋体" w:eastAsia="宋体" w:hAnsi="宋体" w:cs="宋体"/>
                <w:color w:val="5C5C5C"/>
                <w:kern w:val="0"/>
                <w:sz w:val="18"/>
                <w:szCs w:val="18"/>
              </w:rPr>
            </w:pPr>
            <w:r w:rsidRPr="00FF48A9">
              <w:rPr>
                <w:rFonts w:ascii="宋体" w:eastAsia="宋体" w:hAnsi="宋体" w:cs="宋体"/>
                <w:color w:val="5C5C5C"/>
                <w:kern w:val="0"/>
                <w:sz w:val="18"/>
                <w:szCs w:val="18"/>
              </w:rPr>
              <w:pict>
                <v:rect id="_x0000_i1027" style="width:0;height:.5pt" o:hralign="center" o:hrstd="t" o:hrnoshade="t" o:hr="t" fillcolor="#ddd" stroked="f"/>
              </w:pict>
            </w:r>
          </w:p>
          <w:p w:rsidR="00FF48A9" w:rsidRPr="00FF48A9" w:rsidRDefault="00FF48A9" w:rsidP="00FF48A9">
            <w:pPr>
              <w:widowControl/>
              <w:spacing w:after="240"/>
              <w:jc w:val="center"/>
              <w:rPr>
                <w:rFonts w:ascii="宋体" w:eastAsia="宋体" w:hAnsi="宋体" w:cs="宋体"/>
                <w:color w:val="5C5C5C"/>
                <w:kern w:val="0"/>
                <w:sz w:val="18"/>
                <w:szCs w:val="18"/>
              </w:rPr>
            </w:pPr>
          </w:p>
        </w:tc>
      </w:tr>
      <w:tr w:rsidR="00FF48A9" w:rsidRPr="00FF48A9">
        <w:trPr>
          <w:tblCellSpacing w:w="15" w:type="dxa"/>
          <w:jc w:val="center"/>
        </w:trPr>
        <w:tc>
          <w:tcPr>
            <w:tcW w:w="0" w:type="auto"/>
            <w:vAlign w:val="center"/>
            <w:hideMark/>
          </w:tcPr>
          <w:p w:rsidR="00FF48A9" w:rsidRPr="00FF48A9" w:rsidRDefault="00FF48A9" w:rsidP="00FF48A9">
            <w:pPr>
              <w:widowControl/>
              <w:spacing w:line="480" w:lineRule="auto"/>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金发〔2017〕21号</w:t>
            </w:r>
          </w:p>
          <w:p w:rsidR="00FF48A9" w:rsidRPr="00FF48A9" w:rsidRDefault="00FF48A9" w:rsidP="00FF48A9">
            <w:pPr>
              <w:widowControl/>
              <w:spacing w:line="480" w:lineRule="auto"/>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（2017年7月17日）</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 </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为深入实施就业优先战略，全面落实上级各项就业创业政策，以创新引领创业、以创业带动就业，加快培育大众创业、万众创新</w:t>
            </w:r>
            <w:proofErr w:type="gramStart"/>
            <w:r w:rsidRPr="00FF48A9">
              <w:rPr>
                <w:rFonts w:ascii="宋体" w:eastAsia="宋体" w:hAnsi="宋体" w:cs="宋体" w:hint="eastAsia"/>
                <w:color w:val="000000"/>
                <w:kern w:val="0"/>
                <w:sz w:val="24"/>
                <w:szCs w:val="24"/>
              </w:rPr>
              <w:t>新</w:t>
            </w:r>
            <w:proofErr w:type="gramEnd"/>
            <w:r w:rsidRPr="00FF48A9">
              <w:rPr>
                <w:rFonts w:ascii="宋体" w:eastAsia="宋体" w:hAnsi="宋体" w:cs="宋体" w:hint="eastAsia"/>
                <w:color w:val="000000"/>
                <w:kern w:val="0"/>
                <w:sz w:val="24"/>
                <w:szCs w:val="24"/>
              </w:rPr>
              <w:t>引擎，按照县委、县政府“打造五大高地”的决策部署，特制订本实施意见。</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一、目标任务</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实现更加充分的、更高质量的就业，以创业为新的就业增长极，打造新型创业型城市。到2021年全县城镇新增就业累计达到4万人，各类技能培训累计达到15万人次，城镇登记失业率控制在3%以内。全县所有</w:t>
            </w:r>
            <w:proofErr w:type="gramStart"/>
            <w:r w:rsidRPr="00FF48A9">
              <w:rPr>
                <w:rFonts w:ascii="宋体" w:eastAsia="宋体" w:hAnsi="宋体" w:cs="宋体" w:hint="eastAsia"/>
                <w:color w:val="000000"/>
                <w:kern w:val="0"/>
                <w:sz w:val="24"/>
                <w:szCs w:val="24"/>
              </w:rPr>
              <w:t>镇街均符合</w:t>
            </w:r>
            <w:proofErr w:type="gramEnd"/>
            <w:r w:rsidRPr="00FF48A9">
              <w:rPr>
                <w:rFonts w:ascii="宋体" w:eastAsia="宋体" w:hAnsi="宋体" w:cs="宋体" w:hint="eastAsia"/>
                <w:color w:val="000000"/>
                <w:kern w:val="0"/>
                <w:sz w:val="24"/>
                <w:szCs w:val="24"/>
              </w:rPr>
              <w:t>省级创业型街道（乡镇）认定标准，均拥有一处符合市级认定标准的创业平台，所有社区均符合省级创业型社区认定标准。全县新增创业孵化面积达到10万平方米以上，在</w:t>
            </w:r>
            <w:proofErr w:type="gramStart"/>
            <w:r w:rsidRPr="00FF48A9">
              <w:rPr>
                <w:rFonts w:ascii="宋体" w:eastAsia="宋体" w:hAnsi="宋体" w:cs="宋体" w:hint="eastAsia"/>
                <w:color w:val="000000"/>
                <w:kern w:val="0"/>
                <w:sz w:val="24"/>
                <w:szCs w:val="24"/>
              </w:rPr>
              <w:t>孵企业</w:t>
            </w:r>
            <w:proofErr w:type="gramEnd"/>
            <w:r w:rsidRPr="00FF48A9">
              <w:rPr>
                <w:rFonts w:ascii="宋体" w:eastAsia="宋体" w:hAnsi="宋体" w:cs="宋体" w:hint="eastAsia"/>
                <w:color w:val="000000"/>
                <w:kern w:val="0"/>
                <w:sz w:val="24"/>
                <w:szCs w:val="24"/>
              </w:rPr>
              <w:t>达到1500家。创建国家级创业平台一处、省级创业平台两处、省内一流智慧型人力资源市场一处，全县就业创业工作跨入全省先进行列。</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二、工作措施</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lastRenderedPageBreak/>
              <w:t>（一）依托重点项目招引，增加就业岗位</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1.强化招商引资对扩大就业的促进作用。鼓励招商引资落地企业吸纳城乡劳动者就业，围绕我县一二三产发展目标，吸引一批传统企业和高新技术企业，满足不同层次劳动者就业需求。建立招商引资落地企业“就业贡献度”指标考核体系，将项目吸纳城乡劳动者就业情况作为落实招商引资政策的必备条件，招商引资落地企业当年度新招用城乡劳动者，与其签订1年以上期限劳动合同并缴纳社会保险的，每招用一人，给予企业1000元的一次性奖励。（牵头单位：县招商局；协办单位：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、县直有关单位、各园区、各镇街）</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2.</w:t>
            </w:r>
            <w:proofErr w:type="gramStart"/>
            <w:r w:rsidRPr="00FF48A9">
              <w:rPr>
                <w:rFonts w:ascii="宋体" w:eastAsia="宋体" w:hAnsi="宋体" w:cs="宋体" w:hint="eastAsia"/>
                <w:color w:val="000000"/>
                <w:kern w:val="0"/>
                <w:sz w:val="24"/>
                <w:szCs w:val="24"/>
              </w:rPr>
              <w:t>健全重点</w:t>
            </w:r>
            <w:proofErr w:type="gramEnd"/>
            <w:r w:rsidRPr="00FF48A9">
              <w:rPr>
                <w:rFonts w:ascii="宋体" w:eastAsia="宋体" w:hAnsi="宋体" w:cs="宋体" w:hint="eastAsia"/>
                <w:color w:val="000000"/>
                <w:kern w:val="0"/>
                <w:sz w:val="24"/>
                <w:szCs w:val="24"/>
              </w:rPr>
              <w:t>项目建设与促进就业的联动机制。发挥部门联动作用，</w:t>
            </w:r>
            <w:proofErr w:type="gramStart"/>
            <w:r w:rsidRPr="00FF48A9">
              <w:rPr>
                <w:rFonts w:ascii="宋体" w:eastAsia="宋体" w:hAnsi="宋体" w:cs="宋体" w:hint="eastAsia"/>
                <w:color w:val="000000"/>
                <w:kern w:val="0"/>
                <w:sz w:val="24"/>
                <w:szCs w:val="24"/>
              </w:rPr>
              <w:t>县发改局</w:t>
            </w:r>
            <w:proofErr w:type="gramEnd"/>
            <w:r w:rsidRPr="00FF48A9">
              <w:rPr>
                <w:rFonts w:ascii="宋体" w:eastAsia="宋体" w:hAnsi="宋体" w:cs="宋体" w:hint="eastAsia"/>
                <w:color w:val="000000"/>
                <w:kern w:val="0"/>
                <w:sz w:val="24"/>
                <w:szCs w:val="24"/>
              </w:rPr>
              <w:t>、经信局等部门在安排公共投资和重大建设项目，应将增加就业岗位作为评价项目的重要指标纳入评估制度，同等条件下优先安排创造就业岗位多、岗位质量好的项目。项目建成后，县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应及时跟踪建设项目吸纳就业情况，积极提供公共就业服务。各有关部门在研究出台改革发展、财税金融、产业调整、贸易交流、社会管理等相关规定时，要充分考虑对就业岗位变化、就业创业环境、集中失业风险、社会保障及劳动关系等方面的影响。（牵头单位：县招商局；协办单位：</w:t>
            </w:r>
            <w:proofErr w:type="gramStart"/>
            <w:r w:rsidRPr="00FF48A9">
              <w:rPr>
                <w:rFonts w:ascii="宋体" w:eastAsia="宋体" w:hAnsi="宋体" w:cs="宋体" w:hint="eastAsia"/>
                <w:color w:val="000000"/>
                <w:kern w:val="0"/>
                <w:sz w:val="24"/>
                <w:szCs w:val="24"/>
              </w:rPr>
              <w:t>县发改局</w:t>
            </w:r>
            <w:proofErr w:type="gramEnd"/>
            <w:r w:rsidRPr="00FF48A9">
              <w:rPr>
                <w:rFonts w:ascii="宋体" w:eastAsia="宋体" w:hAnsi="宋体" w:cs="宋体" w:hint="eastAsia"/>
                <w:color w:val="000000"/>
                <w:kern w:val="0"/>
                <w:sz w:val="24"/>
                <w:szCs w:val="24"/>
              </w:rPr>
              <w:t>、县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、县经信局、县直有关单位）</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（二）培育创新创业主体，实现创业带动就业</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3.实施企业成长工程。支持科技类、服务类初创企业发展，从县级就业创业专项扶持资金中列支500万元，设立创业天使投资基金，重点为以共享、</w:t>
            </w:r>
            <w:proofErr w:type="gramStart"/>
            <w:r w:rsidRPr="00FF48A9">
              <w:rPr>
                <w:rFonts w:ascii="宋体" w:eastAsia="宋体" w:hAnsi="宋体" w:cs="宋体" w:hint="eastAsia"/>
                <w:color w:val="000000"/>
                <w:kern w:val="0"/>
                <w:sz w:val="24"/>
                <w:szCs w:val="24"/>
              </w:rPr>
              <w:t>众包等</w:t>
            </w:r>
            <w:proofErr w:type="gramEnd"/>
            <w:r w:rsidRPr="00FF48A9">
              <w:rPr>
                <w:rFonts w:ascii="宋体" w:eastAsia="宋体" w:hAnsi="宋体" w:cs="宋体" w:hint="eastAsia"/>
                <w:color w:val="000000"/>
                <w:kern w:val="0"/>
                <w:sz w:val="24"/>
                <w:szCs w:val="24"/>
              </w:rPr>
              <w:t>新业</w:t>
            </w:r>
            <w:proofErr w:type="gramStart"/>
            <w:r w:rsidRPr="00FF48A9">
              <w:rPr>
                <w:rFonts w:ascii="宋体" w:eastAsia="宋体" w:hAnsi="宋体" w:cs="宋体" w:hint="eastAsia"/>
                <w:color w:val="000000"/>
                <w:kern w:val="0"/>
                <w:sz w:val="24"/>
                <w:szCs w:val="24"/>
              </w:rPr>
              <w:t>态形式</w:t>
            </w:r>
            <w:proofErr w:type="gramEnd"/>
            <w:r w:rsidRPr="00FF48A9">
              <w:rPr>
                <w:rFonts w:ascii="宋体" w:eastAsia="宋体" w:hAnsi="宋体" w:cs="宋体" w:hint="eastAsia"/>
                <w:color w:val="000000"/>
                <w:kern w:val="0"/>
                <w:sz w:val="24"/>
                <w:szCs w:val="24"/>
              </w:rPr>
              <w:t>发展的科技研发、电子商务、金融</w:t>
            </w:r>
            <w:r w:rsidRPr="00FF48A9">
              <w:rPr>
                <w:rFonts w:ascii="宋体" w:eastAsia="宋体" w:hAnsi="宋体" w:cs="宋体" w:hint="eastAsia"/>
                <w:color w:val="000000"/>
                <w:kern w:val="0"/>
                <w:sz w:val="24"/>
                <w:szCs w:val="24"/>
              </w:rPr>
              <w:lastRenderedPageBreak/>
              <w:t>租赁、信息技术等科技类、服务类初创企业提供融资服务，对吸纳就业并签订劳动合同、缴纳社会保险的科技类、服务类小微企业，为其提供最高15万元、3年利息全免的创业担保贷款。持续开展“工业经济提升年”活动，全力支持企业做大做强，通过扩大企业体量，开发就业岗位，每年扶持105家微型企业成长为小型企业、70家小型企业成长为中型企业，每年新增规模以上工业企业不少于16家。对当年度实现规模提升的企业，按照其吸纳就业情况给予一次性奖补；对</w:t>
            </w:r>
            <w:proofErr w:type="gramStart"/>
            <w:r w:rsidRPr="00FF48A9">
              <w:rPr>
                <w:rFonts w:ascii="宋体" w:eastAsia="宋体" w:hAnsi="宋体" w:cs="宋体" w:hint="eastAsia"/>
                <w:color w:val="000000"/>
                <w:kern w:val="0"/>
                <w:sz w:val="24"/>
                <w:szCs w:val="24"/>
              </w:rPr>
              <w:t>领取稳岗补贴</w:t>
            </w:r>
            <w:proofErr w:type="gramEnd"/>
            <w:r w:rsidRPr="00FF48A9">
              <w:rPr>
                <w:rFonts w:ascii="宋体" w:eastAsia="宋体" w:hAnsi="宋体" w:cs="宋体" w:hint="eastAsia"/>
                <w:color w:val="000000"/>
                <w:kern w:val="0"/>
                <w:sz w:val="24"/>
                <w:szCs w:val="24"/>
              </w:rPr>
              <w:t>的企业，县财政按照其</w:t>
            </w:r>
            <w:proofErr w:type="gramStart"/>
            <w:r w:rsidRPr="00FF48A9">
              <w:rPr>
                <w:rFonts w:ascii="宋体" w:eastAsia="宋体" w:hAnsi="宋体" w:cs="宋体" w:hint="eastAsia"/>
                <w:color w:val="000000"/>
                <w:kern w:val="0"/>
                <w:sz w:val="24"/>
                <w:szCs w:val="24"/>
              </w:rPr>
              <w:t>领取稳岗补贴</w:t>
            </w:r>
            <w:proofErr w:type="gramEnd"/>
            <w:r w:rsidRPr="00FF48A9">
              <w:rPr>
                <w:rFonts w:ascii="宋体" w:eastAsia="宋体" w:hAnsi="宋体" w:cs="宋体" w:hint="eastAsia"/>
                <w:color w:val="000000"/>
                <w:kern w:val="0"/>
                <w:sz w:val="24"/>
                <w:szCs w:val="24"/>
              </w:rPr>
              <w:t>总额的50%给予奖补。（牵头单位：县经信局、县中小企业局；协办单位：县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、县财政局、县科技局、县卫计局、县商务局、县文物旅游局、县金融办、</w:t>
            </w:r>
            <w:proofErr w:type="gramStart"/>
            <w:r w:rsidRPr="00FF48A9">
              <w:rPr>
                <w:rFonts w:ascii="宋体" w:eastAsia="宋体" w:hAnsi="宋体" w:cs="宋体" w:hint="eastAsia"/>
                <w:color w:val="000000"/>
                <w:kern w:val="0"/>
                <w:sz w:val="24"/>
                <w:szCs w:val="24"/>
              </w:rPr>
              <w:t>县网络</w:t>
            </w:r>
            <w:proofErr w:type="gramEnd"/>
            <w:r w:rsidRPr="00FF48A9">
              <w:rPr>
                <w:rFonts w:ascii="宋体" w:eastAsia="宋体" w:hAnsi="宋体" w:cs="宋体" w:hint="eastAsia"/>
                <w:color w:val="000000"/>
                <w:kern w:val="0"/>
                <w:sz w:val="24"/>
                <w:szCs w:val="24"/>
              </w:rPr>
              <w:t>经济发展局、各园区、各镇街）</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4.实施“十百千万”人才计划。把企业“招才引智”作为创新驱动发展的第一要务，围绕产业、园区高端人才需求，不断创新体制机制，研究出台人才引进政策，鼓励企业加大人才投入力度，引进一批能够引领传统产业转型升级和新兴产业快速发展的优秀人才，为实现产业集聚升级、建设现代工业强县提供更加有力的人才支撑。（牵头单位：县人才办；协办单位：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、县财政局、县科技局、县经信局、县中小企业局）</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（三）创建就业创业载体，拓宽就业创业渠道</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5.创建新型创新创业平台。对</w:t>
            </w:r>
            <w:proofErr w:type="gramStart"/>
            <w:r w:rsidRPr="00FF48A9">
              <w:rPr>
                <w:rFonts w:ascii="宋体" w:eastAsia="宋体" w:hAnsi="宋体" w:cs="宋体" w:hint="eastAsia"/>
                <w:color w:val="000000"/>
                <w:kern w:val="0"/>
                <w:sz w:val="24"/>
                <w:szCs w:val="24"/>
              </w:rPr>
              <w:t>亿九</w:t>
            </w:r>
            <w:proofErr w:type="gramEnd"/>
            <w:r w:rsidRPr="00FF48A9">
              <w:rPr>
                <w:rFonts w:ascii="宋体" w:eastAsia="宋体" w:hAnsi="宋体" w:cs="宋体" w:hint="eastAsia"/>
                <w:color w:val="000000"/>
                <w:kern w:val="0"/>
                <w:sz w:val="24"/>
                <w:szCs w:val="24"/>
              </w:rPr>
              <w:t>科技孵化器、智慧产业园、智慧空间</w:t>
            </w:r>
            <w:proofErr w:type="gramStart"/>
            <w:r w:rsidRPr="00FF48A9">
              <w:rPr>
                <w:rFonts w:ascii="宋体" w:eastAsia="宋体" w:hAnsi="宋体" w:cs="宋体" w:hint="eastAsia"/>
                <w:color w:val="000000"/>
                <w:kern w:val="0"/>
                <w:sz w:val="24"/>
                <w:szCs w:val="24"/>
              </w:rPr>
              <w:t>等创业</w:t>
            </w:r>
            <w:proofErr w:type="gramEnd"/>
            <w:r w:rsidRPr="00FF48A9">
              <w:rPr>
                <w:rFonts w:ascii="宋体" w:eastAsia="宋体" w:hAnsi="宋体" w:cs="宋体" w:hint="eastAsia"/>
                <w:color w:val="000000"/>
                <w:kern w:val="0"/>
                <w:sz w:val="24"/>
                <w:szCs w:val="24"/>
              </w:rPr>
              <w:t>平台进行统筹管理，建立健全创业平台管理办法。鼓励有条件的镇街、园区和企业新建厂房或利用闲置厂房，大力</w:t>
            </w:r>
            <w:proofErr w:type="gramStart"/>
            <w:r w:rsidRPr="00FF48A9">
              <w:rPr>
                <w:rFonts w:ascii="宋体" w:eastAsia="宋体" w:hAnsi="宋体" w:cs="宋体" w:hint="eastAsia"/>
                <w:color w:val="000000"/>
                <w:kern w:val="0"/>
                <w:sz w:val="24"/>
                <w:szCs w:val="24"/>
              </w:rPr>
              <w:t>建设创客</w:t>
            </w:r>
            <w:r w:rsidRPr="00FF48A9">
              <w:rPr>
                <w:rFonts w:ascii="宋体" w:eastAsia="宋体" w:hAnsi="宋体" w:cs="宋体" w:hint="eastAsia"/>
                <w:color w:val="000000"/>
                <w:kern w:val="0"/>
                <w:sz w:val="24"/>
                <w:szCs w:val="24"/>
              </w:rPr>
              <w:lastRenderedPageBreak/>
              <w:t>咖啡</w:t>
            </w:r>
            <w:proofErr w:type="gramEnd"/>
            <w:r w:rsidRPr="00FF48A9">
              <w:rPr>
                <w:rFonts w:ascii="宋体" w:eastAsia="宋体" w:hAnsi="宋体" w:cs="宋体" w:hint="eastAsia"/>
                <w:color w:val="000000"/>
                <w:kern w:val="0"/>
                <w:sz w:val="24"/>
                <w:szCs w:val="24"/>
              </w:rPr>
              <w:t>、创新工场</w:t>
            </w:r>
            <w:proofErr w:type="gramStart"/>
            <w:r w:rsidRPr="00FF48A9">
              <w:rPr>
                <w:rFonts w:ascii="宋体" w:eastAsia="宋体" w:hAnsi="宋体" w:cs="宋体" w:hint="eastAsia"/>
                <w:color w:val="000000"/>
                <w:kern w:val="0"/>
                <w:sz w:val="24"/>
                <w:szCs w:val="24"/>
              </w:rPr>
              <w:t>等众创空间</w:t>
            </w:r>
            <w:proofErr w:type="gramEnd"/>
            <w:r w:rsidRPr="00FF48A9">
              <w:rPr>
                <w:rFonts w:ascii="宋体" w:eastAsia="宋体" w:hAnsi="宋体" w:cs="宋体" w:hint="eastAsia"/>
                <w:color w:val="000000"/>
                <w:kern w:val="0"/>
                <w:sz w:val="24"/>
                <w:szCs w:val="24"/>
              </w:rPr>
              <w:t>，形成一批有效满足大众创业创新需求、具有较强专业化服务能力的新型创业服务平台，构建“创客—苗圃—孵化基地—加速器”的梯级孵化体系。引导企业建立工程实验室（研究中心）、工程技术研究中心、企业技术中心、院士工作站、博士后工作站等创新研发平台，支持企业通过校企合作，引进高校、科研院所来我县创办成果转化（中试）基地、产学研基地等创新平台。对新认定为国家、省、市创业平台或创新研发平台的，给予一次性奖补。（牵头单位：县科技局；协办单位：县人才办、县</w:t>
            </w:r>
            <w:proofErr w:type="gramStart"/>
            <w:r w:rsidRPr="00FF48A9">
              <w:rPr>
                <w:rFonts w:ascii="宋体" w:eastAsia="宋体" w:hAnsi="宋体" w:cs="宋体" w:hint="eastAsia"/>
                <w:color w:val="000000"/>
                <w:kern w:val="0"/>
                <w:sz w:val="24"/>
                <w:szCs w:val="24"/>
              </w:rPr>
              <w:t>人社局、县发改局</w:t>
            </w:r>
            <w:proofErr w:type="gramEnd"/>
            <w:r w:rsidRPr="00FF48A9">
              <w:rPr>
                <w:rFonts w:ascii="宋体" w:eastAsia="宋体" w:hAnsi="宋体" w:cs="宋体" w:hint="eastAsia"/>
                <w:color w:val="000000"/>
                <w:kern w:val="0"/>
                <w:sz w:val="24"/>
                <w:szCs w:val="24"/>
              </w:rPr>
              <w:t>、县经信局、县中小企业局、县商务局、县财政局、各园区、各镇街）</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6.启动实施“小城镇乐业工程”。将创业型街道、社区创建工作与特色小镇、特色社区建设紧密结合起来，重点建设蒜都小镇、健康新区，带动休闲农业、乡村旅游、健康养老等农村经济新业态发展。对于通过省级部门认定，且当年度实现创业成功率不低于25%、创业带动就业人数不少于1000人并全部缴纳社会保险的特色小镇，一次性予以10万元奖补。实施青年就业创业服务站创建计划，统一开展村居、社区 “互联网+就业创业”服务，指导农村青年参与电子商务创业，县政府每年评选50个就业创业带动效应明显的青年就业创业服务站，给予一次性2000元奖励。（承办单位：各镇街；协办单位：</w:t>
            </w:r>
            <w:proofErr w:type="gramStart"/>
            <w:r w:rsidRPr="00FF48A9">
              <w:rPr>
                <w:rFonts w:ascii="宋体" w:eastAsia="宋体" w:hAnsi="宋体" w:cs="宋体" w:hint="eastAsia"/>
                <w:color w:val="000000"/>
                <w:kern w:val="0"/>
                <w:sz w:val="24"/>
                <w:szCs w:val="24"/>
              </w:rPr>
              <w:t>县发改局</w:t>
            </w:r>
            <w:proofErr w:type="gramEnd"/>
            <w:r w:rsidRPr="00FF48A9">
              <w:rPr>
                <w:rFonts w:ascii="宋体" w:eastAsia="宋体" w:hAnsi="宋体" w:cs="宋体" w:hint="eastAsia"/>
                <w:color w:val="000000"/>
                <w:kern w:val="0"/>
                <w:sz w:val="24"/>
                <w:szCs w:val="24"/>
              </w:rPr>
              <w:t>、县经信局、县住建局、县卫计局、县民政局、县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、县工商局、县文物旅游局、县国土资源局、县农业局、</w:t>
            </w:r>
            <w:proofErr w:type="gramStart"/>
            <w:r w:rsidRPr="00FF48A9">
              <w:rPr>
                <w:rFonts w:ascii="宋体" w:eastAsia="宋体" w:hAnsi="宋体" w:cs="宋体" w:hint="eastAsia"/>
                <w:color w:val="000000"/>
                <w:kern w:val="0"/>
                <w:sz w:val="24"/>
                <w:szCs w:val="24"/>
              </w:rPr>
              <w:t>县网络</w:t>
            </w:r>
            <w:proofErr w:type="gramEnd"/>
            <w:r w:rsidRPr="00FF48A9">
              <w:rPr>
                <w:rFonts w:ascii="宋体" w:eastAsia="宋体" w:hAnsi="宋体" w:cs="宋体" w:hint="eastAsia"/>
                <w:color w:val="000000"/>
                <w:kern w:val="0"/>
                <w:sz w:val="24"/>
                <w:szCs w:val="24"/>
              </w:rPr>
              <w:t>经济发展局）</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lastRenderedPageBreak/>
              <w:t>7.创建智慧型人力资源市场。推动人力资源市场与“互联网+”深度融合，提高人力资源市场信息化管理水平，建立全县人力资源基本信息库和企业岗位用工信息库，开发就业创业</w:t>
            </w:r>
            <w:proofErr w:type="gramStart"/>
            <w:r w:rsidRPr="00FF48A9">
              <w:rPr>
                <w:rFonts w:ascii="宋体" w:eastAsia="宋体" w:hAnsi="宋体" w:cs="宋体" w:hint="eastAsia"/>
                <w:color w:val="000000"/>
                <w:kern w:val="0"/>
                <w:sz w:val="24"/>
                <w:szCs w:val="24"/>
              </w:rPr>
              <w:t>微信平台</w:t>
            </w:r>
            <w:proofErr w:type="gramEnd"/>
            <w:r w:rsidRPr="00FF48A9">
              <w:rPr>
                <w:rFonts w:ascii="宋体" w:eastAsia="宋体" w:hAnsi="宋体" w:cs="宋体" w:hint="eastAsia"/>
                <w:color w:val="000000"/>
                <w:kern w:val="0"/>
                <w:sz w:val="24"/>
                <w:szCs w:val="24"/>
              </w:rPr>
              <w:t>、移动终端，主动开展精准推送业务，实现个性化、订制化服务，推进就业信息的共享开放，实现全县十三个镇街联动招聘服务。建立人力资源市场供求分析制度，每季度发布一期人力资源市场分析报告，为市场发展、招聘计划提供数据分析。（牵头单位：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；协办单位：各园区、各镇街）</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（四）加强职业技能培训，提升求职就业技能</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8.建立部门联动的培训体系。统筹现有各类教育培训资源，编制统一的职业技能培训规划和年度计划，在每个镇街建立一处就业创业技能培训点，打造“一刻钟就业培训圈”，形成覆盖城乡的大培训格局。充分发挥职业中专培训中心在职业技能培训中的主渠道作用，打造职业院校与社会培训有机结合的现代职业教育体系，职业中专要实现职业教育培训与产业发展需求的精准对接，着力培养适应企业发展需求、技艺精湛的技能人才。加强社会培训师资队伍建设，开办“节假日培训”和“夜间培训”，面向企业职工、失业人员、农民工、复退军人和未就业高校毕业生多形式开展电焊、电工、数控车床、电子商务等培训，通过校企合作和推行“订单式”培训，实现培训一人、就业一人。（牵头单位：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；协办单位：</w:t>
            </w:r>
            <w:proofErr w:type="gramStart"/>
            <w:r w:rsidRPr="00FF48A9">
              <w:rPr>
                <w:rFonts w:ascii="宋体" w:eastAsia="宋体" w:hAnsi="宋体" w:cs="宋体" w:hint="eastAsia"/>
                <w:color w:val="000000"/>
                <w:kern w:val="0"/>
                <w:sz w:val="24"/>
                <w:szCs w:val="24"/>
              </w:rPr>
              <w:t>县教体局</w:t>
            </w:r>
            <w:proofErr w:type="gramEnd"/>
            <w:r w:rsidRPr="00FF48A9">
              <w:rPr>
                <w:rFonts w:ascii="宋体" w:eastAsia="宋体" w:hAnsi="宋体" w:cs="宋体" w:hint="eastAsia"/>
                <w:color w:val="000000"/>
                <w:kern w:val="0"/>
                <w:sz w:val="24"/>
                <w:szCs w:val="24"/>
              </w:rPr>
              <w:t>、县直有关单位、各镇街、各定点培训机构）</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lastRenderedPageBreak/>
              <w:t>9.建立统一规范的培训平台。采取PPP模式，建设一处为劳动者提供技能训练、技能竞赛、技能鉴定、师资培训、课程研发等服务的公共实训基地。建设创业大学一处，每年培训学员不少于1000人，两年内争创成为市级创业示范大学，五年内争创成为省级创业示范大学，通过省、市认定后，县财政分别给予50万元、30万元奖励。依托智慧空间，搭建“蒜都·夜大青年培训”平台，利用周末、晚上等时间灵活开展各类就业创业培训活动。（牵头单位：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；协办单位：有培训任务的县直部门、县财政局）</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（五）提供全方位服务，优化就业创业环境</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10.完善就业创业服务体系，提升就业创业服务水平。推进公共就业服务体系标准化、信息化、一体化建设，统一就业服务标准，大力实施“互联网+人社服务”，在全县实现公共就业服务的“一点登录、全县通办”，提升人社、公安、工商、民政等部门联动服务能力，实现全县就业服务协同一体化。组建县创业服务中心，统筹开展创业咨询师培训、创业项目库建设、创业项目交流等工作。建立就业创业数据统计分析制度，定期组织调研活动，为制定就业创业政策提供数据参考。（牵头单位：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；协办单位：县中小企业局、县公安局、县工商局、县民政局、各镇街）</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11.</w:t>
            </w:r>
            <w:proofErr w:type="gramStart"/>
            <w:r w:rsidRPr="00FF48A9">
              <w:rPr>
                <w:rFonts w:ascii="宋体" w:eastAsia="宋体" w:hAnsi="宋体" w:cs="宋体" w:hint="eastAsia"/>
                <w:color w:val="000000"/>
                <w:kern w:val="0"/>
                <w:sz w:val="24"/>
                <w:szCs w:val="24"/>
              </w:rPr>
              <w:t>深化商</w:t>
            </w:r>
            <w:proofErr w:type="gramEnd"/>
            <w:r w:rsidRPr="00FF48A9">
              <w:rPr>
                <w:rFonts w:ascii="宋体" w:eastAsia="宋体" w:hAnsi="宋体" w:cs="宋体" w:hint="eastAsia"/>
                <w:color w:val="000000"/>
                <w:kern w:val="0"/>
                <w:sz w:val="24"/>
                <w:szCs w:val="24"/>
              </w:rPr>
              <w:t>事制度改革，改进行政审批流程。在县、镇（街道）两级行政（便民）服务中心设立创业服务窗口，实现“一站受理，并联审批”，全面落实企业“五证合一、一照一码”、个体工商户“两证整合”政策，为创业者提供高效、便捷的“保姆式”服务。加强基层</w:t>
            </w:r>
            <w:r w:rsidRPr="00FF48A9">
              <w:rPr>
                <w:rFonts w:ascii="宋体" w:eastAsia="宋体" w:hAnsi="宋体" w:cs="宋体" w:hint="eastAsia"/>
                <w:color w:val="000000"/>
                <w:kern w:val="0"/>
                <w:sz w:val="24"/>
                <w:szCs w:val="24"/>
              </w:rPr>
              <w:lastRenderedPageBreak/>
              <w:t>公共就业服务从业人员职业化建设，建立定期培训、持证上岗制度，实现基层服务专业化。更新基层公共就业创业服务设施，提升信息化办公水平。拓宽基层就业创业服务渠道，推行公共就业创业服务网点制，根据我县整体发展规划及人口分布，合理布局服务网点，统筹布置自助服务终端，实现高效便民服务。（牵头单位：县行政服务中心；协办单位：县中小企业局、县工商局、县国税局、县地税局、各镇街）</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（六）加大资金投入力度，充分释放政策红利</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12.加大上级就业创业专项资金的争取力度。加强对上级政策的收集与</w:t>
            </w:r>
            <w:proofErr w:type="gramStart"/>
            <w:r w:rsidRPr="00FF48A9">
              <w:rPr>
                <w:rFonts w:ascii="宋体" w:eastAsia="宋体" w:hAnsi="宋体" w:cs="宋体" w:hint="eastAsia"/>
                <w:color w:val="000000"/>
                <w:kern w:val="0"/>
                <w:sz w:val="24"/>
                <w:szCs w:val="24"/>
              </w:rPr>
              <w:t>研</w:t>
            </w:r>
            <w:proofErr w:type="gramEnd"/>
            <w:r w:rsidRPr="00FF48A9">
              <w:rPr>
                <w:rFonts w:ascii="宋体" w:eastAsia="宋体" w:hAnsi="宋体" w:cs="宋体" w:hint="eastAsia"/>
                <w:color w:val="000000"/>
                <w:kern w:val="0"/>
                <w:sz w:val="24"/>
                <w:szCs w:val="24"/>
              </w:rPr>
              <w:t>判，准确把握最新的就业创业政策，结合我县就业创业优势，找准政策切入点，积极做好项目建设和对接工作。进一步加强政策落实力度，增强主动服务意识，抓好上级政策配套文件的制定和政策的落地，充分挖掘符合政策人员，简化资金申报流程，提高使用效益，切实发挥专项资金对就业创业的促进作用。（牵头单位：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；协办单位：县财政局）</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13.加大县级财政对就业创业的扶持力度。根据我县就业状况和就业创业工作目标，在中央、省、市下达就业创业专项资金支持的基础上，设立县级就业创业专项扶持资金，五年内投入资金不少于2000万元，用于企业吸纳就业奖补、</w:t>
            </w:r>
            <w:proofErr w:type="gramStart"/>
            <w:r w:rsidRPr="00FF48A9">
              <w:rPr>
                <w:rFonts w:ascii="宋体" w:eastAsia="宋体" w:hAnsi="宋体" w:cs="宋体" w:hint="eastAsia"/>
                <w:color w:val="000000"/>
                <w:kern w:val="0"/>
                <w:sz w:val="24"/>
                <w:szCs w:val="24"/>
              </w:rPr>
              <w:t>稳岗补贴</w:t>
            </w:r>
            <w:proofErr w:type="gramEnd"/>
            <w:r w:rsidRPr="00FF48A9">
              <w:rPr>
                <w:rFonts w:ascii="宋体" w:eastAsia="宋体" w:hAnsi="宋体" w:cs="宋体" w:hint="eastAsia"/>
                <w:color w:val="000000"/>
                <w:kern w:val="0"/>
                <w:sz w:val="24"/>
                <w:szCs w:val="24"/>
              </w:rPr>
              <w:t>、创业担保贷款贴息、创业</w:t>
            </w:r>
            <w:proofErr w:type="gramStart"/>
            <w:r w:rsidRPr="00FF48A9">
              <w:rPr>
                <w:rFonts w:ascii="宋体" w:eastAsia="宋体" w:hAnsi="宋体" w:cs="宋体" w:hint="eastAsia"/>
                <w:color w:val="000000"/>
                <w:kern w:val="0"/>
                <w:sz w:val="24"/>
                <w:szCs w:val="24"/>
              </w:rPr>
              <w:t>平台奖补</w:t>
            </w:r>
            <w:proofErr w:type="gramEnd"/>
            <w:r w:rsidRPr="00FF48A9">
              <w:rPr>
                <w:rFonts w:ascii="宋体" w:eastAsia="宋体" w:hAnsi="宋体" w:cs="宋体" w:hint="eastAsia"/>
                <w:color w:val="000000"/>
                <w:kern w:val="0"/>
                <w:sz w:val="24"/>
                <w:szCs w:val="24"/>
              </w:rPr>
              <w:t>、创业大学奖补、人力资源市场和实训基地等重点项目建设和设立天使投资基金。县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会同各有关部门统一制定《金乡县就业创业专项扶持资金管理办法》、《金乡县创业天使投资基金管理办</w:t>
            </w:r>
            <w:r w:rsidRPr="00FF48A9">
              <w:rPr>
                <w:rFonts w:ascii="宋体" w:eastAsia="宋体" w:hAnsi="宋体" w:cs="宋体" w:hint="eastAsia"/>
                <w:color w:val="000000"/>
                <w:kern w:val="0"/>
                <w:sz w:val="24"/>
                <w:szCs w:val="24"/>
              </w:rPr>
              <w:lastRenderedPageBreak/>
              <w:t>法》，加强对各项资金的管理使用。（牵头单位：县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；协办单位：县财政局、县中小企业局、县科技局、县金融办）</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三、保障措施</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一）加强组织领导。成立金乡县打造就业创业集聚高地领导小组，由县政府分管领导担任组长，各相关职能部门一把手为成员，加强意见实施的统筹协调。按照统一领导、分工负责、职责明确、协调联动的总体要求，定期协调解决就业创业工作中的具体问题。（牵头单位：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（二）强化督导考核。将就业创业高地建设纳入县委、县政府重大事项督查范围，提高就业创业工作考核在全县科学发展综合考核中的比重。制定具体监管办法，全程落实督查考核措施，</w:t>
            </w:r>
            <w:proofErr w:type="gramStart"/>
            <w:r w:rsidRPr="00FF48A9">
              <w:rPr>
                <w:rFonts w:ascii="宋体" w:eastAsia="宋体" w:hAnsi="宋体" w:cs="宋体" w:hint="eastAsia"/>
                <w:color w:val="000000"/>
                <w:kern w:val="0"/>
                <w:sz w:val="24"/>
                <w:szCs w:val="24"/>
              </w:rPr>
              <w:t>加大问</w:t>
            </w:r>
            <w:proofErr w:type="gramEnd"/>
            <w:r w:rsidRPr="00FF48A9">
              <w:rPr>
                <w:rFonts w:ascii="宋体" w:eastAsia="宋体" w:hAnsi="宋体" w:cs="宋体" w:hint="eastAsia"/>
                <w:color w:val="000000"/>
                <w:kern w:val="0"/>
                <w:sz w:val="24"/>
                <w:szCs w:val="24"/>
              </w:rPr>
              <w:t>责力度，对工作任务推进落实情况进行跟踪督查问效，强化督促检查。（牵头单位：县委县政府督查室；协办单位：县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w:t>
            </w:r>
          </w:p>
          <w:p w:rsidR="00FF48A9" w:rsidRPr="00FF48A9" w:rsidRDefault="00FF48A9" w:rsidP="00FF48A9">
            <w:pPr>
              <w:widowControl/>
              <w:spacing w:line="480" w:lineRule="auto"/>
              <w:ind w:firstLineChars="200" w:firstLine="480"/>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三）注重舆论引导。统筹利用好各种宣传媒体，做好就业创业宣传工作，定期举办创业大赛、就业创业宣传月、创业青年联谊会、就业创业表彰会等活动，评选创业先锋、创业典型、吸纳就业优秀企业，营造有利于就业创业高地建设的舆论氛围。（牵头单位：县委宣传部；协办单位：县</w:t>
            </w:r>
            <w:proofErr w:type="gramStart"/>
            <w:r w:rsidRPr="00FF48A9">
              <w:rPr>
                <w:rFonts w:ascii="宋体" w:eastAsia="宋体" w:hAnsi="宋体" w:cs="宋体" w:hint="eastAsia"/>
                <w:color w:val="000000"/>
                <w:kern w:val="0"/>
                <w:sz w:val="24"/>
                <w:szCs w:val="24"/>
              </w:rPr>
              <w:t>人社局</w:t>
            </w:r>
            <w:proofErr w:type="gramEnd"/>
            <w:r w:rsidRPr="00FF48A9">
              <w:rPr>
                <w:rFonts w:ascii="宋体" w:eastAsia="宋体" w:hAnsi="宋体" w:cs="宋体" w:hint="eastAsia"/>
                <w:color w:val="000000"/>
                <w:kern w:val="0"/>
                <w:sz w:val="24"/>
                <w:szCs w:val="24"/>
              </w:rPr>
              <w:t>、县文广新局、县中小企业局、团县委、县妇联、县残联）</w:t>
            </w:r>
          </w:p>
          <w:p w:rsidR="00FF48A9" w:rsidRPr="00FF48A9" w:rsidRDefault="00FF48A9" w:rsidP="00FF48A9">
            <w:pPr>
              <w:widowControl/>
              <w:spacing w:line="480" w:lineRule="auto"/>
              <w:jc w:val="center"/>
              <w:rPr>
                <w:rFonts w:ascii="宋体" w:eastAsia="宋体" w:hAnsi="宋体" w:cs="宋体"/>
                <w:color w:val="000000"/>
                <w:kern w:val="0"/>
                <w:sz w:val="24"/>
                <w:szCs w:val="24"/>
              </w:rPr>
            </w:pPr>
            <w:r w:rsidRPr="00FF48A9">
              <w:rPr>
                <w:rFonts w:ascii="宋体" w:eastAsia="宋体" w:hAnsi="宋体" w:cs="宋体" w:hint="eastAsia"/>
                <w:color w:val="000000"/>
                <w:kern w:val="0"/>
                <w:sz w:val="24"/>
                <w:szCs w:val="24"/>
              </w:rPr>
              <w:t> </w:t>
            </w:r>
          </w:p>
          <w:p w:rsidR="00FF48A9" w:rsidRPr="00FF48A9" w:rsidRDefault="00FF48A9" w:rsidP="00FF48A9">
            <w:pPr>
              <w:widowControl/>
              <w:spacing w:before="100" w:beforeAutospacing="1" w:after="100" w:afterAutospacing="1" w:line="390" w:lineRule="atLeast"/>
              <w:jc w:val="center"/>
              <w:rPr>
                <w:rFonts w:ascii="宋体" w:eastAsia="宋体" w:hAnsi="宋体" w:cs="宋体"/>
                <w:color w:val="000000"/>
                <w:kern w:val="0"/>
                <w:szCs w:val="21"/>
              </w:rPr>
            </w:pPr>
            <w:r w:rsidRPr="00FF48A9">
              <w:rPr>
                <w:rFonts w:ascii="宋体" w:eastAsia="宋体" w:hAnsi="宋体" w:cs="Times New Roman" w:hint="eastAsia"/>
                <w:color w:val="000000"/>
                <w:sz w:val="24"/>
                <w:szCs w:val="24"/>
              </w:rPr>
              <w:t>    附件：</w:t>
            </w:r>
            <w:hyperlink r:id="rId7" w:history="1">
              <w:r w:rsidRPr="00FF48A9">
                <w:rPr>
                  <w:rFonts w:ascii="宋体" w:eastAsia="宋体" w:hAnsi="宋体" w:cs="Times New Roman" w:hint="eastAsia"/>
                  <w:color w:val="5C5C5C"/>
                  <w:sz w:val="24"/>
                  <w:szCs w:val="24"/>
                </w:rPr>
                <w:t>金乡县打造就业创业集聚高地2017年重点任务</w:t>
              </w:r>
            </w:hyperlink>
          </w:p>
        </w:tc>
      </w:tr>
      <w:tr w:rsidR="00FF48A9" w:rsidRPr="00FF48A9">
        <w:trPr>
          <w:trHeight w:val="100"/>
          <w:tblCellSpacing w:w="15" w:type="dxa"/>
          <w:jc w:val="center"/>
        </w:trPr>
        <w:tc>
          <w:tcPr>
            <w:tcW w:w="0" w:type="auto"/>
            <w:tcMar>
              <w:top w:w="15" w:type="dxa"/>
              <w:left w:w="900" w:type="dxa"/>
              <w:bottom w:w="15" w:type="dxa"/>
              <w:right w:w="15" w:type="dxa"/>
            </w:tcMar>
            <w:vAlign w:val="center"/>
            <w:hideMark/>
          </w:tcPr>
          <w:p w:rsidR="00FF48A9" w:rsidRPr="00FF48A9" w:rsidRDefault="00FF48A9" w:rsidP="00FF48A9">
            <w:pPr>
              <w:widowControl/>
              <w:spacing w:after="240" w:line="390" w:lineRule="atLeast"/>
              <w:jc w:val="left"/>
              <w:rPr>
                <w:rFonts w:ascii="宋体" w:eastAsia="宋体" w:hAnsi="宋体" w:cs="宋体"/>
                <w:color w:val="000000"/>
                <w:kern w:val="0"/>
                <w:szCs w:val="21"/>
              </w:rPr>
            </w:pPr>
          </w:p>
        </w:tc>
      </w:tr>
    </w:tbl>
    <w:p w:rsidR="00FF48A9" w:rsidRPr="00FF48A9" w:rsidRDefault="00FF48A9" w:rsidP="00FF48A9">
      <w:pPr>
        <w:widowControl/>
        <w:spacing w:after="240"/>
        <w:jc w:val="left"/>
        <w:rPr>
          <w:rFonts w:ascii="宋体" w:eastAsia="宋体" w:hAnsi="宋体" w:cs="宋体"/>
          <w:color w:val="5C5C5C"/>
          <w:kern w:val="0"/>
          <w:sz w:val="18"/>
          <w:szCs w:val="18"/>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475"/>
      </w:tblGrid>
      <w:tr w:rsidR="00FF48A9" w:rsidRPr="00FF48A9">
        <w:trPr>
          <w:tblCellSpacing w:w="15" w:type="dxa"/>
          <w:jc w:val="center"/>
        </w:trPr>
        <w:tc>
          <w:tcPr>
            <w:tcW w:w="0" w:type="auto"/>
            <w:vAlign w:val="center"/>
            <w:hideMark/>
          </w:tcPr>
          <w:p w:rsidR="00FF48A9" w:rsidRPr="00FF48A9" w:rsidRDefault="00FF48A9" w:rsidP="00FF48A9">
            <w:pPr>
              <w:widowControl/>
              <w:jc w:val="right"/>
              <w:rPr>
                <w:rFonts w:ascii="宋体" w:eastAsia="宋体" w:hAnsi="宋体" w:cs="宋体"/>
                <w:color w:val="5C5C5C"/>
                <w:kern w:val="0"/>
                <w:szCs w:val="21"/>
              </w:rPr>
            </w:pPr>
            <w:r w:rsidRPr="00FF48A9">
              <w:rPr>
                <w:rFonts w:ascii="宋体" w:eastAsia="宋体" w:hAnsi="宋体" w:cs="宋体"/>
                <w:color w:val="5C5C5C"/>
                <w:kern w:val="0"/>
                <w:szCs w:val="21"/>
              </w:rPr>
              <w:t>【</w:t>
            </w:r>
            <w:hyperlink r:id="rId8" w:history="1">
              <w:r w:rsidRPr="00FF48A9">
                <w:rPr>
                  <w:rFonts w:ascii="宋体" w:eastAsia="宋体" w:hAnsi="宋体" w:cs="宋体"/>
                  <w:color w:val="5C5C5C"/>
                  <w:kern w:val="0"/>
                  <w:szCs w:val="21"/>
                </w:rPr>
                <w:t>打印本页</w:t>
              </w:r>
            </w:hyperlink>
            <w:r w:rsidRPr="00FF48A9">
              <w:rPr>
                <w:rFonts w:ascii="宋体" w:eastAsia="宋体" w:hAnsi="宋体" w:cs="宋体"/>
                <w:color w:val="5C5C5C"/>
                <w:kern w:val="0"/>
                <w:szCs w:val="21"/>
              </w:rPr>
              <w:t>】 【</w:t>
            </w:r>
            <w:hyperlink r:id="rId9" w:history="1">
              <w:r w:rsidRPr="00FF48A9">
                <w:rPr>
                  <w:rFonts w:ascii="宋体" w:eastAsia="宋体" w:hAnsi="宋体" w:cs="宋体"/>
                  <w:color w:val="5C5C5C"/>
                  <w:kern w:val="0"/>
                  <w:szCs w:val="21"/>
                </w:rPr>
                <w:t>关闭窗口</w:t>
              </w:r>
            </w:hyperlink>
            <w:r w:rsidRPr="00FF48A9">
              <w:rPr>
                <w:rFonts w:ascii="宋体" w:eastAsia="宋体" w:hAnsi="宋体" w:cs="宋体"/>
                <w:color w:val="5C5C5C"/>
                <w:kern w:val="0"/>
                <w:szCs w:val="21"/>
              </w:rPr>
              <w:t>】</w:t>
            </w:r>
          </w:p>
        </w:tc>
      </w:tr>
    </w:tbl>
    <w:p w:rsidR="002A59BE" w:rsidRPr="00FF48A9" w:rsidRDefault="002A59BE"/>
    <w:sectPr w:rsidR="002A59BE" w:rsidRPr="00FF48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A9"/>
    <w:rsid w:val="002A59BE"/>
    <w:rsid w:val="00FF4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069E4-A96A-4A73-B314-CA1269B6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48A9"/>
    <w:rPr>
      <w:strike w:val="0"/>
      <w:dstrike w:val="0"/>
      <w:color w:val="5C5C5C"/>
      <w:u w:val="none"/>
      <w:effect w:val="none"/>
    </w:rPr>
  </w:style>
  <w:style w:type="paragraph" w:styleId="a4">
    <w:name w:val="Normal (Web)"/>
    <w:basedOn w:val="a"/>
    <w:uiPriority w:val="99"/>
    <w:semiHidden/>
    <w:unhideWhenUsed/>
    <w:rsid w:val="00FF48A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029676">
      <w:bodyDiv w:val="1"/>
      <w:marLeft w:val="0"/>
      <w:marRight w:val="0"/>
      <w:marTop w:val="0"/>
      <w:marBottom w:val="0"/>
      <w:divBdr>
        <w:top w:val="none" w:sz="0" w:space="0" w:color="auto"/>
        <w:left w:val="none" w:sz="0" w:space="0" w:color="auto"/>
        <w:bottom w:val="none" w:sz="0" w:space="0" w:color="auto"/>
        <w:right w:val="none" w:sz="0" w:space="0" w:color="auto"/>
      </w:divBdr>
      <w:divsChild>
        <w:div w:id="28386553">
          <w:marLeft w:val="0"/>
          <w:marRight w:val="0"/>
          <w:marTop w:val="0"/>
          <w:marBottom w:val="0"/>
          <w:divBdr>
            <w:top w:val="none" w:sz="0" w:space="0" w:color="auto"/>
            <w:left w:val="none" w:sz="0" w:space="0" w:color="auto"/>
            <w:bottom w:val="none" w:sz="0" w:space="0" w:color="auto"/>
            <w:right w:val="none" w:sz="0" w:space="0" w:color="auto"/>
          </w:divBdr>
          <w:divsChild>
            <w:div w:id="11098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print()" TargetMode="External"/><Relationship Id="rId3" Type="http://schemas.openxmlformats.org/officeDocument/2006/relationships/webSettings" Target="webSettings.xml"/><Relationship Id="rId7" Type="http://schemas.openxmlformats.org/officeDocument/2006/relationships/hyperlink" Target="http://www.jinxiang.gov.cn/module/download/downfile.jsp?classid=0&amp;filename=1709260911256595137.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11" Type="http://schemas.openxmlformats.org/officeDocument/2006/relationships/theme" Target="theme/theme1.xml"/><Relationship Id="rId5" Type="http://schemas.openxmlformats.org/officeDocument/2006/relationships/hyperlink" Target="javascript:doZoom(16)" TargetMode="External"/><Relationship Id="rId10" Type="http://schemas.openxmlformats.org/officeDocument/2006/relationships/fontTable" Target="fontTable.xml"/><Relationship Id="rId4" Type="http://schemas.openxmlformats.org/officeDocument/2006/relationships/hyperlink" Target="javascript:doZoom(18)" TargetMode="External"/><Relationship Id="rId9" Type="http://schemas.openxmlformats.org/officeDocument/2006/relationships/hyperlink" Target="javascript:window.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2018-05-25T09:16:00Z</dcterms:created>
  <dcterms:modified xsi:type="dcterms:W3CDTF">2018-05-25T09:19:00Z</dcterms:modified>
</cp:coreProperties>
</file>