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1DB" w:rsidRDefault="007211DB" w:rsidP="007211DB">
      <w:pPr>
        <w:pStyle w:val="a3"/>
        <w:shd w:val="clear" w:color="auto" w:fill="FFFFFF"/>
        <w:spacing w:before="225" w:beforeAutospacing="0" w:after="150" w:afterAutospacing="0"/>
        <w:ind w:firstLine="480"/>
        <w:rPr>
          <w:rFonts w:ascii="微软雅黑" w:eastAsia="微软雅黑" w:hAnsi="微软雅黑"/>
          <w:color w:val="333333"/>
          <w:sz w:val="21"/>
          <w:szCs w:val="21"/>
        </w:rPr>
      </w:pPr>
      <w:r>
        <w:rPr>
          <w:rFonts w:ascii="微软雅黑" w:eastAsia="微软雅黑" w:hAnsi="微软雅黑" w:hint="eastAsia"/>
          <w:color w:val="333333"/>
          <w:sz w:val="21"/>
          <w:szCs w:val="21"/>
        </w:rPr>
        <w:t>为进一步拓宽招商引资渠道，创新招商引资方式，有效激励县内外各界人士、团体助力息烽招商引资工作，充分利用以商引商、中介招商、专业招商、委托招商等新型招商形式，持续提升招商引资工作成效，特制定以下奖励办法。</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一、奖励对象</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本办法的奖励对象为招商引资项目引资人。项目引资人是指向我县相关部门引荐投资者，积极发挥其中介、沟通作用，协助项目投资者与我县相关部门联系、洽谈，为项目成功落户我县发挥出明显推动作用与实质性贡献的团体或个人。引资人包括商会、协会、专业机构、办事机构等法人组织或其他组织机构及自然人。</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（二）公务员和党员领导干部在招商引资工作中表现突出的，按照公务员和党员干部管理的有关政策和规定给予表彰奖励。</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二、奖励条件</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凡申请奖励的招商引资项目必须同时满足下列四个条件：</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（一）项目符合国家和我省产业政策、环保要求，不属于禁止类或限制类产业项目。</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（二）项目引进资金系县外资金。</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（三）在息烽县内注册、建设、经营、纳税的招商引资产业项目。以　BT、BOT、TOT、PPP等新型融资模式实施的基础设施建设及公共服务类项目、捐资项目、房地产开发项目、矿产资源开采类项目不属于本办法奖励范围。</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（四）项目实际投资金额须在　1000　万元人民币以上。如引进资金为国外、境外资金，则以外币资金到位当日的国家外汇牌价折合人民币进行计算。项目运营所需流动资金投入不计入实际投资金额内。</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三、奖励标准及申领时间</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凡符合本办法第二条奖励条件要求的招商项目，按下列标准进行奖励：</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按项目实际完成投资额的3‰给予奖励（项目运营所需流动资金投入不计入项目实际完成投资额内）。如项目属于我县投资促进部门主动宣传推介的重点招商引资项目，则上浮奖励标准20%，按项目实际完成投资额的3.6‰给予奖励。单个项目最高奖励金额不超过500　万元人民币。</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于同时符合本办法奖励条件要求及省级奖励办法奖励条件要求的项目，按本奖励办法标准核算出的奖励金额与按省级奖励办法第四条第一款、第二款核算出的由县级财政承担的奖励金额不重复进行奖励，而以两者中的最高限为标准对引资人进行奖励。</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（二）如引进项目的投资人或控股投资人（多方合作投资的情况下）为世界　500　强、国内　500　强、国内民企　500　强企业，对引资人除给予上述奖励外，再分别一次性给予30万元人民币、15万元人民币、5万元人民币的奖励（如投资人同时符合以上两项或三项条件的，以高限进行奖励）。如项目同时符合申请省级奖励办法第四条第三款规定的奖励的条件要求，省级奖励办法确定的奖励金额中由县级财政承担的部分不再重复进行奖励。</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（三）项目建成运营后，引资人可申领奖励资金。如项目分期实施建设，则在项目一期建设内容建成运营后申领奖励资金。</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四、项目奖励条件及依据认定</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息烽县招商引资工作领导小组以在县投资促进局备案登记且经项目投资方认可的项目引资人作为奖励对象兑现奖金，如同一项目有多个项目引资人，根据投资方对项目引资人的认可意见，由各项目引资人自行协商该项目的奖金分配比例。</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（二）项目是否建成运营及实际完成投资额的认定，由项目所属行业相应主管职能部门负责牵头组织项目所在地乡镇人民政府及其他有关职能部门共同完成。</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（三）项目实际完成投资额以符合规定的发票、法定验资机构出具的验资报告、银行进账单等相关材料为依据进行认定。</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（四）项目投资方是否为世界　500　强、国内　500　强、国内民企　500　强企业，以项目入驻我县上年国家发改委公布的相关企业目录为准。</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五、奖励程序及资金来源</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引资人引入投资人与我县投资促进部门开始洽商项目后，即在县投资促进局领取并填报《息烽县招商项目引资人申报登记表》，办理引资人申报登记手续。县投资促进局经征询取得项目投资人对引资人的认可意见后，报县招商引资工作领导小组审查，经审定确认后，县投资促进局对项目引资人予以正式登记。</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按照本办法第五条第一款要求完成申报登记手续的引资人，在所引项目具备申领奖励的条件后，到县投资促进局领取并填报《息烽县招商项目引资人奖励申领表》，并按要求提交相应材料依据。县投资促进局收到引资人提交的申领表及相关材料后，交由根据本办法第四条第二款规定确定的牵头职能部门组织开展项目是否建成运营及实际完成投资额的认定工作。完成认定后，由县投资促进局将兑现奖励事项上报县招商引资工作领导</w:t>
      </w:r>
      <w:r>
        <w:rPr>
          <w:rFonts w:ascii="微软雅黑" w:eastAsia="微软雅黑" w:hAnsi="微软雅黑" w:hint="eastAsia"/>
          <w:color w:val="333333"/>
          <w:sz w:val="21"/>
          <w:szCs w:val="21"/>
        </w:rPr>
        <w:lastRenderedPageBreak/>
        <w:t>小组审查。待审查通过后，由县财政局按规定安排奖励资金并拨付县投资促进局，县投资促进局在收到县财政局拨付的奖励资金后10日内向引资人兑现奖励。</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于符合奖励条件的项目，应在引资人提交领取奖金的书面申请及相应材料依据后三个月内完成前述认定、报审等程序并向引资人兑付奖励资金。其中，项目是否建成运营及实际完成投资额的认定工作须于30日内完成。</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（三）经审核确定的奖励金额，由县财政据实统筹安排。</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六、其它事项</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（一）引荐我县外出务工人员返回县内投资实施相关产业项目的引资人可参照此办法给予相应奖励。</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对于我县必需、紧迫的特殊招商引资工作需求，可由县投资促进部门依规与特定的招商中介组织或个人商谈委托招商具体事宜，待达成一致意见后，签定委托招商服务协议，按照协议约定的条件和标准向受委托方支付相应的佣金，受委托方不再享受此办法规定的各项奖励。</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（三）项目引资人所获得的奖金均为税前奖金，所需缴纳的个人所得税由获奖人自行承担，获奖人需按国家法律规定完成缴税义务（由奖励兑付部门代扣代缴）。</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（四）对采取各种不正当手段骗取奖励的，除追回全部奖金外，要追究相关人员的行政、经济责任；行为触犯刑律、构成犯罪的，由司法机关依法追究刑事责任。</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（五）引资人须于项目建成运营后一年内，提出领取奖励资金的申请，超期则视为其自动放弃奖励资金。如项目分期实施建设，则以项目一期建设内容建成运营后一年内为限。</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（六）引资人应在接到县投资促进局的领奖通知后六个月内领取奖励资金，超期未领取奖励资金的，视为其自动放弃。</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七）引资人对核定的奖励资金数额有异议的，可在领取奖励资金后15日内，向县投资促进局提出复核奖励资金的申请。县投资促进局收到申请后，参照本办法第五条第二款关于认定项目实际完成投资额的相关规定进行复核。</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七、附则</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（一）本办法中前述“省级奖励办法”皆是指贵州省招商引资扩大开放工作领导小组于2012年10月12日发布的《贵州省招商引资奖励办法（试行）》（黔招商领导小组发〔2012〕2号文件印发）。</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（二）本办法由息烽县招商引资工作领导小组办公室负责解释。</w:t>
      </w:r>
    </w:p>
    <w:p w:rsidR="007211DB" w:rsidRDefault="007211DB" w:rsidP="007211DB">
      <w:pPr>
        <w:pStyle w:val="a3"/>
        <w:shd w:val="clear" w:color="auto" w:fill="FFFFFF"/>
        <w:spacing w:before="225"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（三）本办法自发布之日起施行。</w:t>
      </w:r>
    </w:p>
    <w:p w:rsidR="008424A6" w:rsidRDefault="008424A6">
      <w:pPr>
        <w:rPr>
          <w:rFonts w:hint="eastAsia"/>
        </w:rPr>
      </w:pPr>
      <w:bookmarkStart w:id="0" w:name="_GoBack"/>
      <w:bookmarkEnd w:id="0"/>
    </w:p>
    <w:sectPr w:rsidR="008424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402"/>
    <w:rsid w:val="007211DB"/>
    <w:rsid w:val="008424A6"/>
    <w:rsid w:val="00FC7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61482-3C65-4B98-9574-EC26C65B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11D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1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2018-05-14T09:21:00Z</dcterms:created>
  <dcterms:modified xsi:type="dcterms:W3CDTF">2018-05-14T09:21:00Z</dcterms:modified>
</cp:coreProperties>
</file>