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02EE0">
      <w:pPr>
        <w:pStyle w:val="4"/>
        <w:divId w:val="426655216"/>
        <w:rPr>
          <w:lang/>
        </w:rPr>
      </w:pPr>
      <w:r>
        <w:rPr>
          <w:lang/>
        </w:rPr>
        <w:t>韶关市人民政府关于印发韶关市降低制造业企业成本支持实体经济发展若干政策措施的通知</w:t>
      </w:r>
      <w:r>
        <w:rPr>
          <w:lang/>
        </w:rPr>
        <w:t>(</w:t>
      </w:r>
      <w:r>
        <w:rPr>
          <w:lang/>
        </w:rPr>
        <w:t>韶府〔</w:t>
      </w:r>
      <w:r>
        <w:rPr>
          <w:lang/>
        </w:rPr>
        <w:t>2017</w:t>
      </w:r>
      <w:r>
        <w:rPr>
          <w:lang/>
        </w:rPr>
        <w:t>〕</w:t>
      </w:r>
      <w:r>
        <w:rPr>
          <w:lang/>
        </w:rPr>
        <w:t>42</w:t>
      </w:r>
      <w:r>
        <w:rPr>
          <w:lang/>
        </w:rPr>
        <w:t>号</w:t>
      </w:r>
      <w:r>
        <w:rPr>
          <w:lang/>
        </w:rPr>
        <w:t>)</w:t>
      </w:r>
    </w:p>
    <w:p w:rsidR="00000000" w:rsidRDefault="00102EE0">
      <w:pPr>
        <w:pStyle w:val="6"/>
        <w:divId w:val="426655216"/>
        <w:rPr>
          <w:lang/>
        </w:rPr>
      </w:pPr>
      <w:r>
        <w:rPr>
          <w:lang/>
        </w:rPr>
        <w:t>发布时间：</w:t>
      </w:r>
      <w:r>
        <w:rPr>
          <w:lang/>
        </w:rPr>
        <w:t>2017-12-0</w:t>
      </w:r>
      <w:r>
        <w:rPr>
          <w:lang/>
        </w:rPr>
        <w:t>4</w:t>
      </w:r>
      <w:r>
        <w:rPr>
          <w:lang/>
        </w:rPr>
        <w:t xml:space="preserve"> </w:t>
      </w:r>
      <w:r>
        <w:rPr>
          <w:lang/>
        </w:rPr>
        <w:t>字体：</w:t>
      </w:r>
      <w:r>
        <w:rPr>
          <w:lang/>
        </w:rPr>
        <w:t xml:space="preserve">[ </w:t>
      </w:r>
      <w:hyperlink r:id="rId5" w:history="1">
        <w:r>
          <w:rPr>
            <w:rStyle w:val="a3"/>
            <w:lang/>
          </w:rPr>
          <w:t>大</w:t>
        </w:r>
      </w:hyperlink>
      <w:hyperlink r:id="rId6" w:history="1">
        <w:r>
          <w:rPr>
            <w:rStyle w:val="a3"/>
            <w:lang/>
          </w:rPr>
          <w:t>中</w:t>
        </w:r>
      </w:hyperlink>
      <w:hyperlink r:id="rId7" w:history="1">
        <w:r>
          <w:rPr>
            <w:rStyle w:val="a3"/>
            <w:lang/>
          </w:rPr>
          <w:t>小</w:t>
        </w:r>
      </w:hyperlink>
      <w:r>
        <w:rPr>
          <w:lang/>
        </w:rPr>
        <w:t xml:space="preserve"> </w:t>
      </w:r>
      <w:r>
        <w:rPr>
          <w:lang/>
        </w:rPr>
        <w:t>]</w:t>
      </w:r>
      <w:r>
        <w:rPr>
          <w:lang/>
        </w:rPr>
        <w:t xml:space="preserve"> </w:t>
      </w:r>
    </w:p>
    <w:p w:rsidR="00000000" w:rsidRDefault="00102EE0">
      <w:pPr>
        <w:pStyle w:val="newnewnewnewnewnewnewnewnewnewnewnewnewnewnewnewnewnewnewnewnewnewnewnewnewnewnewnewnewnewnewnewnewnewnewnewnewnewnewnewnewnewnewnewnewnewnewnewnewnewnewnew"/>
        <w:wordWrap w:val="0"/>
        <w:spacing w:line="480" w:lineRule="auto"/>
        <w:divId w:val="1082793922"/>
        <w:rPr>
          <w:lang/>
        </w:rPr>
      </w:pPr>
      <w:bookmarkStart w:id="0" w:name="zhengwen"/>
      <w:r>
        <w:rPr>
          <w:rFonts w:hint="eastAsia"/>
          <w:color w:val="000000"/>
          <w:lang/>
        </w:rPr>
        <w:t>各县（市、区）人民政府，市政府各部门、各直属机构，中省驻韶各单位：</w:t>
      </w:r>
      <w:bookmarkEnd w:id="0"/>
    </w:p>
    <w:p w:rsidR="00000000" w:rsidRDefault="00102EE0">
      <w:pPr>
        <w:pStyle w:val="newnewnewnewnewnewnewnewnewnewnewnewnewnewnewnewnewnewnewnewnewnewnewnewnewnewnewnewnewnewnewnewnewnewnewnewnewnewnewnewnewnewnewnewnewnewnewnewnewnewnewnew"/>
        <w:wordWrap w:val="0"/>
        <w:spacing w:line="480" w:lineRule="auto"/>
        <w:ind w:firstLine="480"/>
        <w:divId w:val="1082793922"/>
        <w:rPr>
          <w:lang/>
        </w:rPr>
      </w:pPr>
      <w:r>
        <w:rPr>
          <w:rFonts w:hint="eastAsia"/>
          <w:lang/>
        </w:rPr>
        <w:t>《韶关市</w:t>
      </w:r>
      <w:r>
        <w:rPr>
          <w:rFonts w:hint="eastAsia"/>
          <w:color w:val="000000"/>
          <w:lang/>
        </w:rPr>
        <w:t>降低制造业企业成本支持实体经济发展若干政策措施</w:t>
      </w:r>
      <w:r>
        <w:rPr>
          <w:rFonts w:hint="eastAsia"/>
          <w:lang/>
        </w:rPr>
        <w:t>》已经市政府第十四届</w:t>
      </w:r>
      <w:r>
        <w:rPr>
          <w:rFonts w:hint="eastAsia"/>
        </w:rPr>
        <w:t>24</w:t>
      </w:r>
      <w:r>
        <w:rPr>
          <w:rFonts w:hint="eastAsia"/>
          <w:lang/>
        </w:rPr>
        <w:t>次常务会议审议通过。现印发给你们，请认真组织实施。</w:t>
      </w:r>
    </w:p>
    <w:p w:rsidR="00000000" w:rsidRDefault="00102EE0">
      <w:pPr>
        <w:pStyle w:val="newnewnewnewnewnewnewnewnewnewnewnewnewnewnewnewnewnewnewnewnewnewnewnewnewnewnewnewnewnewnewnewnewnewnewnewnewnewnewnewnewnewnewnewnewnewnewnewnewnewnewnew"/>
        <w:wordWrap w:val="0"/>
        <w:spacing w:line="480" w:lineRule="auto"/>
        <w:ind w:firstLine="480"/>
        <w:divId w:val="1082793922"/>
        <w:rPr>
          <w:lang/>
        </w:rPr>
      </w:pPr>
      <w:r>
        <w:rPr>
          <w:rFonts w:hint="eastAsia"/>
        </w:rPr>
        <w:t> </w:t>
      </w:r>
    </w:p>
    <w:p w:rsidR="00000000" w:rsidRDefault="00102EE0">
      <w:pPr>
        <w:pStyle w:val="newnewnewnewnewnewnewnewnewnewnewnewnewnewnewnewnewnewnewnewnewnewnewnewnewnewnewnewnewnewnewnewnewnewnewnewnewnewnewnewnewnewnewnewnewnewnewnewnewnewnewnew"/>
        <w:wordWrap w:val="0"/>
        <w:spacing w:line="480" w:lineRule="auto"/>
        <w:ind w:firstLine="480"/>
        <w:divId w:val="1082793922"/>
        <w:rPr>
          <w:lang/>
        </w:rPr>
      </w:pPr>
      <w:r>
        <w:rPr>
          <w:rFonts w:hint="eastAsia"/>
        </w:rPr>
        <w:t> </w:t>
      </w:r>
    </w:p>
    <w:p w:rsidR="00000000" w:rsidRDefault="00102EE0">
      <w:pPr>
        <w:pStyle w:val="newnewnewnewnewnewnewnewnewnewnewnewnewnewnewnewnewnewnewnewnewnewnewnewnewnewnewnewnewnewnewnewnewnewnewnewnewnewnewnewnewnewnewnewnewnewnewnewnewnewnewnew"/>
        <w:wordWrap w:val="0"/>
        <w:spacing w:line="480" w:lineRule="auto"/>
        <w:ind w:firstLine="480"/>
        <w:jc w:val="right"/>
        <w:divId w:val="1082793922"/>
        <w:rPr>
          <w:lang/>
        </w:rPr>
      </w:pPr>
      <w:r>
        <w:rPr>
          <w:rFonts w:hint="eastAsia"/>
        </w:rPr>
        <w:t xml:space="preserve">                            </w:t>
      </w:r>
      <w:r>
        <w:rPr>
          <w:rFonts w:hint="eastAsia"/>
          <w:lang/>
        </w:rPr>
        <w:t>韶关市人民政府</w:t>
      </w:r>
    </w:p>
    <w:p w:rsidR="00000000" w:rsidRDefault="00102EE0">
      <w:pPr>
        <w:pStyle w:val="newnewnewnewnewnewnewnewnewnewnewnewnewnewnewnewnewnewnewnewnewnewnewnewnewnewnewnewnewnewnewnewnewnewnewnewnewnewnewnewnewnewnewnewnewnewnewnewnewnewnewnew"/>
        <w:wordWrap w:val="0"/>
        <w:spacing w:line="480" w:lineRule="auto"/>
        <w:ind w:firstLine="480"/>
        <w:jc w:val="right"/>
        <w:divId w:val="1082793922"/>
        <w:rPr>
          <w:lang/>
        </w:rPr>
      </w:pPr>
      <w:r>
        <w:rPr>
          <w:rFonts w:hint="eastAsia"/>
        </w:rPr>
        <w:t>  </w:t>
      </w:r>
      <w:r>
        <w:rPr>
          <w:rFonts w:hint="eastAsia"/>
        </w:rPr>
        <w:t>                         2017</w:t>
      </w:r>
      <w:r>
        <w:rPr>
          <w:rFonts w:hint="eastAsia"/>
          <w:lang/>
        </w:rPr>
        <w:t>年</w:t>
      </w:r>
      <w:r>
        <w:rPr>
          <w:rFonts w:hint="eastAsia"/>
        </w:rPr>
        <w:t>11</w:t>
      </w:r>
      <w:r>
        <w:rPr>
          <w:rFonts w:hint="eastAsia"/>
          <w:lang/>
        </w:rPr>
        <w:t>月</w:t>
      </w:r>
      <w:r>
        <w:rPr>
          <w:rFonts w:hint="eastAsia"/>
        </w:rPr>
        <w:t>22</w:t>
      </w:r>
      <w:r>
        <w:rPr>
          <w:rFonts w:hint="eastAsia"/>
          <w:lang/>
        </w:rPr>
        <w:t>日</w:t>
      </w:r>
    </w:p>
    <w:p w:rsidR="00000000" w:rsidRDefault="00102EE0">
      <w:pPr>
        <w:pStyle w:val="newnewnewnewnewnewnewnewnewnewnewnewnewnewnewnewnewnewnewnewnewnewnewnewnewnewnewnewnewnewnewnewnewnewnewnewnewnewnewnewnewnewnewnewnewnewnewnewnewnewnewnew"/>
        <w:wordWrap w:val="0"/>
        <w:spacing w:line="480" w:lineRule="auto"/>
        <w:divId w:val="1082793922"/>
        <w:rPr>
          <w:lang/>
        </w:rPr>
      </w:pPr>
      <w:r>
        <w:rPr>
          <w:rFonts w:hint="eastAsia"/>
        </w:rPr>
        <w:t> </w:t>
      </w:r>
    </w:p>
    <w:p w:rsidR="00000000" w:rsidRDefault="00102EE0">
      <w:pPr>
        <w:wordWrap w:val="0"/>
        <w:spacing w:before="100" w:beforeAutospacing="1" w:after="100" w:afterAutospacing="1" w:line="480" w:lineRule="auto"/>
        <w:jc w:val="center"/>
        <w:divId w:val="1082793922"/>
        <w:rPr>
          <w:lang/>
        </w:rPr>
      </w:pPr>
      <w:r>
        <w:rPr>
          <w:rFonts w:hint="eastAsia"/>
          <w:color w:val="000000"/>
          <w:lang/>
        </w:rPr>
        <w:t>韶关市降低制造业企业成本支持实体经济</w:t>
      </w:r>
    </w:p>
    <w:p w:rsidR="00000000" w:rsidRDefault="00102EE0">
      <w:pPr>
        <w:wordWrap w:val="0"/>
        <w:spacing w:before="100" w:beforeAutospacing="1" w:after="100" w:afterAutospacing="1" w:line="480" w:lineRule="auto"/>
        <w:jc w:val="center"/>
        <w:divId w:val="1082793922"/>
        <w:rPr>
          <w:lang/>
        </w:rPr>
      </w:pPr>
      <w:r>
        <w:rPr>
          <w:rFonts w:hint="eastAsia"/>
          <w:color w:val="000000"/>
          <w:lang/>
        </w:rPr>
        <w:t>发展若干政策措施</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rPr>
        <w:t> </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为深入贯彻落实《广东省人民政府关于印发广东省降低制造业企业成本支持实体经济发展若干政策措施的通知》（粤府〔</w:t>
      </w:r>
      <w:r>
        <w:rPr>
          <w:rFonts w:hint="eastAsia"/>
          <w:color w:val="000000"/>
        </w:rPr>
        <w:t>2017</w:t>
      </w:r>
      <w:r>
        <w:rPr>
          <w:rFonts w:hint="eastAsia"/>
          <w:color w:val="000000"/>
          <w:lang/>
        </w:rPr>
        <w:t>〕</w:t>
      </w:r>
      <w:r>
        <w:rPr>
          <w:rFonts w:hint="eastAsia"/>
          <w:color w:val="000000"/>
        </w:rPr>
        <w:t>90</w:t>
      </w:r>
      <w:r>
        <w:rPr>
          <w:rFonts w:hint="eastAsia"/>
          <w:color w:val="000000"/>
          <w:lang/>
        </w:rPr>
        <w:t>号）精神，进一步降低我市制造业企业成本，支持实体经济发展，结合我市实际，制定以下政策措施：</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一、降低企业税费成本</w:t>
      </w:r>
    </w:p>
    <w:p w:rsidR="00000000" w:rsidRDefault="00102EE0">
      <w:pPr>
        <w:pStyle w:val="newnewnewnewnewnewnewnewnewnewnewnewnewnewnewnewnewnewnewnewnewnewnewnewnewnewnewnewnewnewnewnewnewnewnewnewnew"/>
        <w:wordWrap w:val="0"/>
        <w:autoSpaceDE w:val="0"/>
        <w:snapToGrid w:val="0"/>
        <w:spacing w:line="480" w:lineRule="auto"/>
        <w:ind w:firstLine="480"/>
        <w:divId w:val="1082793922"/>
        <w:rPr>
          <w:lang/>
        </w:rPr>
      </w:pPr>
      <w:r>
        <w:rPr>
          <w:rFonts w:hint="eastAsia"/>
          <w:color w:val="000000"/>
          <w:lang/>
        </w:rPr>
        <w:t>（一）降低城镇土地使用税负担。我市城镇土地使用税税额标准，由</w:t>
      </w:r>
      <w:r>
        <w:rPr>
          <w:rFonts w:hint="eastAsia"/>
          <w:color w:val="000000"/>
        </w:rPr>
        <w:t>1</w:t>
      </w:r>
      <w:r>
        <w:rPr>
          <w:rFonts w:hint="eastAsia"/>
          <w:color w:val="000000"/>
          <w:lang/>
        </w:rPr>
        <w:t>—</w:t>
      </w:r>
      <w:r>
        <w:rPr>
          <w:rFonts w:hint="eastAsia"/>
          <w:color w:val="000000"/>
        </w:rPr>
        <w:t>18</w:t>
      </w:r>
      <w:r>
        <w:rPr>
          <w:rFonts w:hint="eastAsia"/>
          <w:color w:val="000000"/>
          <w:lang/>
        </w:rPr>
        <w:t>元</w:t>
      </w:r>
      <w:r>
        <w:rPr>
          <w:rFonts w:hint="eastAsia"/>
          <w:color w:val="000000"/>
        </w:rPr>
        <w:t>/</w:t>
      </w:r>
      <w:r>
        <w:rPr>
          <w:rFonts w:hint="eastAsia"/>
          <w:color w:val="000000"/>
          <w:lang/>
        </w:rPr>
        <w:t>平方米下调至</w:t>
      </w:r>
      <w:r>
        <w:rPr>
          <w:rFonts w:hint="eastAsia"/>
          <w:color w:val="000000"/>
        </w:rPr>
        <w:t>1</w:t>
      </w:r>
      <w:r>
        <w:rPr>
          <w:rFonts w:hint="eastAsia"/>
          <w:color w:val="000000"/>
          <w:lang/>
        </w:rPr>
        <w:t>—</w:t>
      </w:r>
      <w:r>
        <w:rPr>
          <w:rFonts w:hint="eastAsia"/>
          <w:color w:val="000000"/>
        </w:rPr>
        <w:t>8</w:t>
      </w:r>
      <w:r>
        <w:rPr>
          <w:rFonts w:hint="eastAsia"/>
          <w:color w:val="000000"/>
          <w:lang/>
        </w:rPr>
        <w:t>元</w:t>
      </w:r>
      <w:r>
        <w:rPr>
          <w:rFonts w:hint="eastAsia"/>
          <w:color w:val="000000"/>
        </w:rPr>
        <w:t>/</w:t>
      </w:r>
      <w:r>
        <w:rPr>
          <w:rFonts w:hint="eastAsia"/>
          <w:color w:val="000000"/>
          <w:lang/>
        </w:rPr>
        <w:t>平方米，工业用地税额标准为上述标准的</w:t>
      </w:r>
      <w:r>
        <w:rPr>
          <w:rFonts w:hint="eastAsia"/>
          <w:color w:val="000000"/>
        </w:rPr>
        <w:t>50%</w:t>
      </w:r>
      <w:r>
        <w:rPr>
          <w:rFonts w:hint="eastAsia"/>
          <w:color w:val="000000"/>
          <w:lang/>
        </w:rPr>
        <w:t>（但最低不超过法定税额）。全市土地等级划分为五级。税额标准分三年调整到位，</w:t>
      </w:r>
      <w:r>
        <w:rPr>
          <w:rFonts w:hint="eastAsia"/>
          <w:color w:val="000000"/>
        </w:rPr>
        <w:t>2017</w:t>
      </w:r>
      <w:r>
        <w:rPr>
          <w:rFonts w:hint="eastAsia"/>
          <w:color w:val="000000"/>
          <w:lang/>
        </w:rPr>
        <w:t>年降幅为</w:t>
      </w:r>
      <w:r>
        <w:rPr>
          <w:rFonts w:hint="eastAsia"/>
          <w:color w:val="000000"/>
        </w:rPr>
        <w:t>20%</w:t>
      </w:r>
      <w:r>
        <w:rPr>
          <w:rFonts w:hint="eastAsia"/>
          <w:color w:val="000000"/>
          <w:lang/>
        </w:rPr>
        <w:t>，</w:t>
      </w:r>
      <w:r>
        <w:rPr>
          <w:rFonts w:hint="eastAsia"/>
          <w:color w:val="000000"/>
        </w:rPr>
        <w:t>2018</w:t>
      </w:r>
      <w:r>
        <w:rPr>
          <w:rFonts w:hint="eastAsia"/>
          <w:color w:val="000000"/>
          <w:lang/>
        </w:rPr>
        <w:t>年降幅与</w:t>
      </w:r>
      <w:r>
        <w:rPr>
          <w:rFonts w:hint="eastAsia"/>
          <w:color w:val="000000"/>
        </w:rPr>
        <w:t>2017</w:t>
      </w:r>
      <w:r>
        <w:rPr>
          <w:rFonts w:hint="eastAsia"/>
          <w:color w:val="000000"/>
          <w:lang/>
        </w:rPr>
        <w:t>年持平，</w:t>
      </w:r>
      <w:r>
        <w:rPr>
          <w:rFonts w:hint="eastAsia"/>
          <w:color w:val="000000"/>
        </w:rPr>
        <w:t>2019</w:t>
      </w:r>
      <w:r>
        <w:rPr>
          <w:rFonts w:hint="eastAsia"/>
          <w:color w:val="000000"/>
          <w:lang/>
        </w:rPr>
        <w:t>年底按标准调整到位。到</w:t>
      </w:r>
      <w:r>
        <w:rPr>
          <w:rFonts w:hint="eastAsia"/>
          <w:color w:val="000000"/>
        </w:rPr>
        <w:t>2019</w:t>
      </w:r>
      <w:r>
        <w:rPr>
          <w:rFonts w:hint="eastAsia"/>
          <w:color w:val="000000"/>
          <w:lang/>
        </w:rPr>
        <w:t>年底，全市平均降幅约为</w:t>
      </w:r>
      <w:r>
        <w:rPr>
          <w:rFonts w:hint="eastAsia"/>
          <w:color w:val="000000"/>
        </w:rPr>
        <w:t>55%</w:t>
      </w:r>
      <w:r>
        <w:rPr>
          <w:rFonts w:hint="eastAsia"/>
          <w:color w:val="000000"/>
          <w:lang/>
        </w:rPr>
        <w:t>。（</w:t>
      </w:r>
      <w:r>
        <w:rPr>
          <w:rFonts w:hint="eastAsia"/>
          <w:color w:val="000000"/>
          <w:shd w:val="clear" w:color="auto" w:fill="FFFFFF"/>
          <w:lang/>
        </w:rPr>
        <w:t>责任单位：市财政局、市地税局</w:t>
      </w:r>
      <w:r>
        <w:rPr>
          <w:rFonts w:hint="eastAsia"/>
          <w:color w:val="000000"/>
          <w:lang/>
        </w:rPr>
        <w:t>，</w:t>
      </w:r>
      <w:r>
        <w:rPr>
          <w:rFonts w:hint="eastAsia"/>
          <w:color w:val="000000"/>
          <w:shd w:val="clear" w:color="auto" w:fill="FFFFFF"/>
          <w:lang/>
        </w:rPr>
        <w:t>列在首位的为牵头单位，下同</w:t>
      </w:r>
      <w:r>
        <w:rPr>
          <w:rFonts w:hint="eastAsia"/>
          <w:color w:val="000000"/>
          <w:lang/>
        </w:rPr>
        <w:t>）</w:t>
      </w:r>
    </w:p>
    <w:p w:rsidR="00000000" w:rsidRDefault="00102EE0">
      <w:pPr>
        <w:pStyle w:val="newnewnewnewnewnewnewnewnewnewnewnewnewnewnewnewnewnewnew"/>
        <w:wordWrap w:val="0"/>
        <w:snapToGrid w:val="0"/>
        <w:spacing w:line="480" w:lineRule="auto"/>
        <w:ind w:firstLine="480"/>
        <w:divId w:val="1082793922"/>
        <w:rPr>
          <w:lang/>
        </w:rPr>
      </w:pPr>
      <w:r>
        <w:rPr>
          <w:rFonts w:hint="eastAsia"/>
          <w:color w:val="000000"/>
          <w:shd w:val="clear" w:color="auto" w:fill="FFFFFF"/>
          <w:lang/>
        </w:rPr>
        <w:t>（二）调整园区企业城镇土地使用税政策。扩大有效投资，提高土地资源利用效率，促进企业转型发展。发挥税收调节作用，促进园区企业集约节约用地。充分发挥税务部门“以地控税、以税节地”信息系统的数据管控作用，依据“亩产税收”等指标</w:t>
      </w:r>
      <w:r>
        <w:rPr>
          <w:rFonts w:hint="eastAsia"/>
          <w:color w:val="000000"/>
          <w:lang/>
        </w:rPr>
        <w:t>实行差别化城镇土地使用税财政扶持</w:t>
      </w:r>
      <w:r>
        <w:rPr>
          <w:rFonts w:hint="eastAsia"/>
          <w:color w:val="000000"/>
          <w:lang/>
        </w:rPr>
        <w:t>政策，对亩产税收在行业平均亩产税收</w:t>
      </w:r>
      <w:r>
        <w:rPr>
          <w:rFonts w:hint="eastAsia"/>
          <w:color w:val="000000"/>
        </w:rPr>
        <w:t>200%</w:t>
      </w:r>
      <w:r>
        <w:rPr>
          <w:rFonts w:hint="eastAsia"/>
          <w:color w:val="000000"/>
          <w:lang/>
        </w:rPr>
        <w:t>、</w:t>
      </w:r>
      <w:r>
        <w:rPr>
          <w:rFonts w:hint="eastAsia"/>
          <w:color w:val="000000"/>
        </w:rPr>
        <w:t>150%</w:t>
      </w:r>
      <w:r>
        <w:rPr>
          <w:rFonts w:hint="eastAsia"/>
          <w:color w:val="000000"/>
          <w:lang/>
        </w:rPr>
        <w:t>、</w:t>
      </w:r>
      <w:r>
        <w:rPr>
          <w:rFonts w:hint="eastAsia"/>
          <w:color w:val="000000"/>
        </w:rPr>
        <w:t>100%</w:t>
      </w:r>
      <w:r>
        <w:rPr>
          <w:rFonts w:hint="eastAsia"/>
          <w:color w:val="000000"/>
          <w:lang/>
        </w:rPr>
        <w:t>以上的，分别给予缴纳城镇土地使用税</w:t>
      </w:r>
      <w:r>
        <w:rPr>
          <w:rFonts w:hint="eastAsia"/>
          <w:color w:val="000000"/>
        </w:rPr>
        <w:t>100%</w:t>
      </w:r>
      <w:r>
        <w:rPr>
          <w:rFonts w:hint="eastAsia"/>
          <w:color w:val="000000"/>
          <w:lang/>
        </w:rPr>
        <w:t>、</w:t>
      </w:r>
      <w:r>
        <w:rPr>
          <w:rFonts w:hint="eastAsia"/>
          <w:color w:val="000000"/>
        </w:rPr>
        <w:t>75%</w:t>
      </w:r>
      <w:r>
        <w:rPr>
          <w:rFonts w:hint="eastAsia"/>
          <w:color w:val="000000"/>
          <w:lang/>
        </w:rPr>
        <w:t>、</w:t>
      </w:r>
      <w:r>
        <w:rPr>
          <w:rFonts w:hint="eastAsia"/>
          <w:color w:val="000000"/>
        </w:rPr>
        <w:t>50%</w:t>
      </w:r>
      <w:r>
        <w:rPr>
          <w:rFonts w:hint="eastAsia"/>
          <w:color w:val="000000"/>
          <w:lang/>
        </w:rPr>
        <w:t>的财政扶持。〔</w:t>
      </w:r>
      <w:r>
        <w:rPr>
          <w:rFonts w:hint="eastAsia"/>
          <w:color w:val="000000"/>
          <w:shd w:val="clear" w:color="auto" w:fill="FFFFFF"/>
          <w:lang/>
        </w:rPr>
        <w:t>责任单位：市国土资源局、市财政局、市地税局、市国税局、市经信局、</w:t>
      </w:r>
      <w:r>
        <w:rPr>
          <w:rFonts w:hint="eastAsia"/>
          <w:color w:val="000000"/>
          <w:lang/>
        </w:rPr>
        <w:t>各县（市、区）政府〕</w:t>
      </w:r>
    </w:p>
    <w:p w:rsidR="00000000" w:rsidRDefault="00102EE0">
      <w:pPr>
        <w:wordWrap w:val="0"/>
        <w:snapToGrid w:val="0"/>
        <w:spacing w:before="100" w:beforeAutospacing="1" w:after="100" w:afterAutospacing="1" w:line="480" w:lineRule="auto"/>
        <w:divId w:val="1082793922"/>
        <w:rPr>
          <w:lang/>
        </w:rPr>
      </w:pPr>
      <w:r>
        <w:rPr>
          <w:rFonts w:hint="eastAsia"/>
          <w:color w:val="000000"/>
        </w:rPr>
        <w:t xml:space="preserve">    </w:t>
      </w:r>
      <w:r>
        <w:rPr>
          <w:rFonts w:hint="eastAsia"/>
          <w:color w:val="000000"/>
          <w:lang/>
        </w:rPr>
        <w:t xml:space="preserve">二、降低企业用地成本　　　　</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（三）对经所在园区管委会审核确认的帮扶共建园区、产业园区范围内重点项目且适当提高投资强度、产出值、税收贡献等准入条件的工业用地，继续实行</w:t>
      </w:r>
      <w:r>
        <w:rPr>
          <w:rFonts w:hint="eastAsia"/>
          <w:color w:val="000000"/>
        </w:rPr>
        <w:t>50</w:t>
      </w:r>
      <w:r>
        <w:rPr>
          <w:rFonts w:hint="eastAsia"/>
          <w:color w:val="000000"/>
          <w:lang/>
        </w:rPr>
        <w:t>年出让；对非入园的、及其他非重点工业项目试行弹性出让，出让年限在</w:t>
      </w:r>
      <w:r>
        <w:rPr>
          <w:rFonts w:hint="eastAsia"/>
          <w:color w:val="000000"/>
        </w:rPr>
        <w:t>20</w:t>
      </w:r>
      <w:r>
        <w:rPr>
          <w:rFonts w:hint="eastAsia"/>
          <w:color w:val="000000"/>
          <w:lang/>
        </w:rPr>
        <w:t>年至</w:t>
      </w:r>
      <w:r>
        <w:rPr>
          <w:rFonts w:hint="eastAsia"/>
          <w:color w:val="000000"/>
        </w:rPr>
        <w:t>50</w:t>
      </w:r>
      <w:r>
        <w:rPr>
          <w:rFonts w:hint="eastAsia"/>
          <w:color w:val="000000"/>
          <w:lang/>
        </w:rPr>
        <w:t>年之间按实际项目情况确定。（责任单位：</w:t>
      </w:r>
      <w:r>
        <w:rPr>
          <w:rFonts w:hint="eastAsia"/>
          <w:color w:val="000000"/>
          <w:lang/>
        </w:rPr>
        <w:t>市国土资源局、莞韶园管委会、华南装备园管委会、市土地储备中心）</w:t>
      </w:r>
      <w:r>
        <w:rPr>
          <w:rFonts w:hint="eastAsia"/>
          <w:color w:val="000000"/>
        </w:rPr>
        <w:t xml:space="preserve"> </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三、降低企业社会保险成本</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四）积极探索实施失业保险浮动费率政策，经市政府同意并报省人社厅、省财政厅、省地税局备案后实施。在确保失业保险基金收支平衡的前提下，对一定时期内不减员或者少减员的用人单位，适当下浮费率，失业保险单位缴费费率将实行</w:t>
      </w:r>
      <w:r>
        <w:rPr>
          <w:rFonts w:hint="eastAsia"/>
          <w:color w:val="000000"/>
        </w:rPr>
        <w:t>0.48%</w:t>
      </w:r>
      <w:r>
        <w:rPr>
          <w:rFonts w:hint="eastAsia"/>
          <w:color w:val="000000"/>
          <w:lang/>
        </w:rPr>
        <w:t>、</w:t>
      </w:r>
      <w:r>
        <w:rPr>
          <w:rFonts w:hint="eastAsia"/>
          <w:color w:val="000000"/>
        </w:rPr>
        <w:t>0.64%</w:t>
      </w:r>
      <w:r>
        <w:rPr>
          <w:rFonts w:hint="eastAsia"/>
          <w:color w:val="000000"/>
          <w:lang/>
        </w:rPr>
        <w:t>、</w:t>
      </w:r>
      <w:r>
        <w:rPr>
          <w:rFonts w:hint="eastAsia"/>
          <w:color w:val="000000"/>
        </w:rPr>
        <w:t>0.8%</w:t>
      </w:r>
      <w:r>
        <w:rPr>
          <w:rFonts w:hint="eastAsia"/>
          <w:color w:val="000000"/>
          <w:lang/>
        </w:rPr>
        <w:t>三档费率。（责任单位：市人社局、市地税局、市财政局）</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（五）结合基金结余情况，研究进一步降低职工医疗保险单位缴费费率。（责任单位：市人社局、市地税局、市财政局）</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（六）执行工伤保险费率的浮动管理办法，根据工伤保险费使用情况、工伤发生率等因素每两年浮动一次，实现</w:t>
      </w:r>
      <w:r>
        <w:rPr>
          <w:rFonts w:hint="eastAsia"/>
          <w:color w:val="000000"/>
        </w:rPr>
        <w:t>2016</w:t>
      </w:r>
      <w:r>
        <w:rPr>
          <w:rFonts w:hint="eastAsia"/>
          <w:color w:val="000000"/>
          <w:lang/>
        </w:rPr>
        <w:t>—</w:t>
      </w:r>
      <w:r>
        <w:rPr>
          <w:rFonts w:hint="eastAsia"/>
          <w:color w:val="000000"/>
        </w:rPr>
        <w:t>2018</w:t>
      </w:r>
      <w:r>
        <w:rPr>
          <w:rFonts w:hint="eastAsia"/>
          <w:color w:val="000000"/>
          <w:lang/>
        </w:rPr>
        <w:t>年工伤保险平均费率下降</w:t>
      </w:r>
      <w:r>
        <w:rPr>
          <w:rFonts w:hint="eastAsia"/>
          <w:color w:val="000000"/>
        </w:rPr>
        <w:t>20%</w:t>
      </w:r>
      <w:r>
        <w:rPr>
          <w:rFonts w:hint="eastAsia"/>
          <w:color w:val="000000"/>
          <w:lang/>
        </w:rPr>
        <w:t>以上。（责任单位：市人社局、市地税局、市财政局）</w:t>
      </w:r>
    </w:p>
    <w:p w:rsidR="00000000" w:rsidRDefault="00102EE0">
      <w:pPr>
        <w:pStyle w:val="newnewnewnewnewnewnewnewnewnewnewnewnewnewnewnewnewnewnewnewnewnewnewnewnewnew"/>
        <w:wordWrap w:val="0"/>
        <w:snapToGrid w:val="0"/>
        <w:spacing w:line="480" w:lineRule="auto"/>
        <w:ind w:firstLine="480"/>
        <w:divId w:val="1082793922"/>
        <w:rPr>
          <w:lang/>
        </w:rPr>
      </w:pPr>
      <w:r>
        <w:rPr>
          <w:rFonts w:hint="eastAsia"/>
          <w:color w:val="000000"/>
          <w:lang/>
        </w:rPr>
        <w:t>四、降低企业生产用能成本</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（七）取消韶关市区供水价格城市公用事业附加。执行省发改委《关于调整销售电价等有关问题的通知》（粤发改价格〔</w:t>
      </w:r>
      <w:r>
        <w:rPr>
          <w:rFonts w:hint="eastAsia"/>
          <w:color w:val="000000"/>
        </w:rPr>
        <w:t>2017</w:t>
      </w:r>
      <w:r>
        <w:rPr>
          <w:rFonts w:hint="eastAsia"/>
          <w:color w:val="000000"/>
          <w:lang/>
        </w:rPr>
        <w:t>〕</w:t>
      </w:r>
      <w:r>
        <w:rPr>
          <w:rFonts w:hint="eastAsia"/>
          <w:color w:val="000000"/>
        </w:rPr>
        <w:t>498</w:t>
      </w:r>
      <w:r>
        <w:rPr>
          <w:rFonts w:hint="eastAsia"/>
          <w:color w:val="000000"/>
          <w:lang/>
        </w:rPr>
        <w:t>号），取消韶关市区供水价格中征收城市公用事业附加，上溯自</w:t>
      </w:r>
      <w:r>
        <w:rPr>
          <w:rFonts w:hint="eastAsia"/>
          <w:color w:val="000000"/>
        </w:rPr>
        <w:t>2017</w:t>
      </w:r>
      <w:r>
        <w:rPr>
          <w:rFonts w:hint="eastAsia"/>
          <w:color w:val="000000"/>
          <w:lang/>
        </w:rPr>
        <w:t>年</w:t>
      </w:r>
      <w:r>
        <w:rPr>
          <w:rFonts w:hint="eastAsia"/>
          <w:color w:val="000000"/>
        </w:rPr>
        <w:t>4</w:t>
      </w:r>
      <w:r>
        <w:rPr>
          <w:rFonts w:hint="eastAsia"/>
          <w:color w:val="000000"/>
          <w:lang/>
        </w:rPr>
        <w:t>月</w:t>
      </w:r>
      <w:r>
        <w:rPr>
          <w:rFonts w:hint="eastAsia"/>
          <w:color w:val="000000"/>
        </w:rPr>
        <w:t>1</w:t>
      </w:r>
      <w:r>
        <w:rPr>
          <w:rFonts w:hint="eastAsia"/>
          <w:color w:val="000000"/>
          <w:lang/>
        </w:rPr>
        <w:t>日起执行。（责任单位：市发改局、市财政局、市住建管理局）</w:t>
      </w:r>
    </w:p>
    <w:p w:rsidR="00000000" w:rsidRDefault="00102EE0">
      <w:pPr>
        <w:pStyle w:val="newnewnewnewnewnewnewnewnewnewnewnewnewnewnewnewnewnewnewnewnewnewnewnewnewnew"/>
        <w:wordWrap w:val="0"/>
        <w:snapToGrid w:val="0"/>
        <w:spacing w:line="480" w:lineRule="auto"/>
        <w:ind w:firstLine="480"/>
        <w:divId w:val="1082793922"/>
        <w:rPr>
          <w:lang/>
        </w:rPr>
      </w:pPr>
      <w:r>
        <w:rPr>
          <w:rFonts w:hint="eastAsia"/>
          <w:color w:val="000000"/>
          <w:lang/>
        </w:rPr>
        <w:t>（八）降低工商业用户生产用电成本。执行省发改委《关于调整销售电价等有关问题的通知》（粤发改价格〔</w:t>
      </w:r>
      <w:r>
        <w:rPr>
          <w:rFonts w:hint="eastAsia"/>
          <w:color w:val="000000"/>
        </w:rPr>
        <w:t>2017</w:t>
      </w:r>
      <w:r>
        <w:rPr>
          <w:rFonts w:hint="eastAsia"/>
          <w:color w:val="000000"/>
          <w:lang/>
        </w:rPr>
        <w:t>〕</w:t>
      </w:r>
      <w:r>
        <w:rPr>
          <w:rFonts w:hint="eastAsia"/>
          <w:color w:val="000000"/>
        </w:rPr>
        <w:t>498</w:t>
      </w:r>
      <w:r>
        <w:rPr>
          <w:rFonts w:hint="eastAsia"/>
          <w:color w:val="000000"/>
          <w:lang/>
        </w:rPr>
        <w:t>号），上溯自</w:t>
      </w:r>
      <w:r>
        <w:rPr>
          <w:rFonts w:hint="eastAsia"/>
          <w:color w:val="000000"/>
        </w:rPr>
        <w:t>2017</w:t>
      </w:r>
      <w:r>
        <w:rPr>
          <w:rFonts w:hint="eastAsia"/>
          <w:color w:val="000000"/>
          <w:lang/>
        </w:rPr>
        <w:t>年</w:t>
      </w:r>
      <w:r>
        <w:rPr>
          <w:rFonts w:hint="eastAsia"/>
          <w:color w:val="000000"/>
        </w:rPr>
        <w:t>1</w:t>
      </w:r>
      <w:r>
        <w:rPr>
          <w:rFonts w:hint="eastAsia"/>
          <w:color w:val="000000"/>
          <w:lang/>
        </w:rPr>
        <w:t>月</w:t>
      </w:r>
      <w:r>
        <w:rPr>
          <w:rFonts w:hint="eastAsia"/>
          <w:color w:val="000000"/>
        </w:rPr>
        <w:t>1</w:t>
      </w:r>
      <w:r>
        <w:rPr>
          <w:rFonts w:hint="eastAsia"/>
          <w:color w:val="000000"/>
          <w:lang/>
        </w:rPr>
        <w:t>日起，降低工商业销售电价</w:t>
      </w:r>
      <w:r>
        <w:rPr>
          <w:rFonts w:hint="eastAsia"/>
          <w:color w:val="000000"/>
        </w:rPr>
        <w:t>2.33</w:t>
      </w:r>
      <w:r>
        <w:rPr>
          <w:rFonts w:hint="eastAsia"/>
          <w:color w:val="000000"/>
          <w:lang/>
        </w:rPr>
        <w:t>分</w:t>
      </w:r>
      <w:r>
        <w:rPr>
          <w:rFonts w:hint="eastAsia"/>
          <w:color w:val="000000"/>
        </w:rPr>
        <w:t>/</w:t>
      </w:r>
      <w:r>
        <w:rPr>
          <w:rFonts w:hint="eastAsia"/>
          <w:color w:val="000000"/>
          <w:lang/>
        </w:rPr>
        <w:t>千瓦时。上溯自</w:t>
      </w:r>
      <w:r>
        <w:rPr>
          <w:rFonts w:hint="eastAsia"/>
          <w:color w:val="000000"/>
        </w:rPr>
        <w:t>2017</w:t>
      </w:r>
      <w:r>
        <w:rPr>
          <w:rFonts w:hint="eastAsia"/>
          <w:color w:val="000000"/>
          <w:lang/>
        </w:rPr>
        <w:t>年</w:t>
      </w:r>
      <w:r>
        <w:rPr>
          <w:rFonts w:hint="eastAsia"/>
          <w:color w:val="000000"/>
        </w:rPr>
        <w:t>4</w:t>
      </w:r>
      <w:r>
        <w:rPr>
          <w:rFonts w:hint="eastAsia"/>
          <w:color w:val="000000"/>
          <w:lang/>
        </w:rPr>
        <w:t>月</w:t>
      </w:r>
      <w:r>
        <w:rPr>
          <w:rFonts w:hint="eastAsia"/>
          <w:color w:val="000000"/>
        </w:rPr>
        <w:t>1</w:t>
      </w:r>
      <w:r>
        <w:rPr>
          <w:rFonts w:hint="eastAsia"/>
          <w:color w:val="000000"/>
          <w:lang/>
        </w:rPr>
        <w:t>日起，取消随电价征收的城市公用事业附加</w:t>
      </w:r>
      <w:r>
        <w:rPr>
          <w:rFonts w:hint="eastAsia"/>
          <w:color w:val="000000"/>
        </w:rPr>
        <w:t>1.40</w:t>
      </w:r>
      <w:r>
        <w:rPr>
          <w:rFonts w:hint="eastAsia"/>
          <w:color w:val="000000"/>
          <w:lang/>
        </w:rPr>
        <w:t>分</w:t>
      </w:r>
      <w:r>
        <w:rPr>
          <w:rFonts w:hint="eastAsia"/>
          <w:color w:val="000000"/>
        </w:rPr>
        <w:t>/</w:t>
      </w:r>
      <w:r>
        <w:rPr>
          <w:rFonts w:hint="eastAsia"/>
          <w:color w:val="000000"/>
          <w:lang/>
        </w:rPr>
        <w:t>千瓦时。上溯自</w:t>
      </w:r>
      <w:r>
        <w:rPr>
          <w:rFonts w:hint="eastAsia"/>
          <w:color w:val="000000"/>
        </w:rPr>
        <w:t>2017</w:t>
      </w:r>
      <w:r>
        <w:rPr>
          <w:rFonts w:hint="eastAsia"/>
          <w:color w:val="000000"/>
          <w:lang/>
        </w:rPr>
        <w:t>年</w:t>
      </w:r>
      <w:r>
        <w:rPr>
          <w:rFonts w:hint="eastAsia"/>
          <w:color w:val="000000"/>
        </w:rPr>
        <w:t>7</w:t>
      </w:r>
      <w:r>
        <w:rPr>
          <w:rFonts w:hint="eastAsia"/>
          <w:color w:val="000000"/>
          <w:lang/>
        </w:rPr>
        <w:t>月</w:t>
      </w:r>
      <w:r>
        <w:rPr>
          <w:rFonts w:hint="eastAsia"/>
          <w:color w:val="000000"/>
        </w:rPr>
        <w:t>1</w:t>
      </w:r>
      <w:r>
        <w:rPr>
          <w:rFonts w:hint="eastAsia"/>
          <w:color w:val="000000"/>
          <w:lang/>
        </w:rPr>
        <w:t>日起，降低随电价征收的国家重大水利工程建设基金</w:t>
      </w:r>
      <w:r>
        <w:rPr>
          <w:rFonts w:hint="eastAsia"/>
          <w:color w:val="000000"/>
        </w:rPr>
        <w:t>0.18</w:t>
      </w:r>
      <w:r>
        <w:rPr>
          <w:rFonts w:hint="eastAsia"/>
          <w:color w:val="000000"/>
          <w:lang/>
        </w:rPr>
        <w:t>分</w:t>
      </w:r>
      <w:r>
        <w:rPr>
          <w:rFonts w:hint="eastAsia"/>
          <w:color w:val="000000"/>
        </w:rPr>
        <w:t>/</w:t>
      </w:r>
      <w:r>
        <w:rPr>
          <w:rFonts w:hint="eastAsia"/>
          <w:color w:val="000000"/>
          <w:lang/>
        </w:rPr>
        <w:t>千瓦时和大中型水库移民后期扶持基金</w:t>
      </w:r>
      <w:r>
        <w:rPr>
          <w:rFonts w:hint="eastAsia"/>
          <w:color w:val="000000"/>
        </w:rPr>
        <w:t>0.21</w:t>
      </w:r>
      <w:r>
        <w:rPr>
          <w:rFonts w:hint="eastAsia"/>
          <w:color w:val="000000"/>
          <w:lang/>
        </w:rPr>
        <w:t>分</w:t>
      </w:r>
      <w:r>
        <w:rPr>
          <w:rFonts w:hint="eastAsia"/>
          <w:color w:val="000000"/>
        </w:rPr>
        <w:t>/</w:t>
      </w:r>
      <w:r>
        <w:rPr>
          <w:rFonts w:hint="eastAsia"/>
          <w:color w:val="000000"/>
          <w:lang/>
        </w:rPr>
        <w:t>千瓦时。（责任单位：市发改局、韶关供电局、市经信局）</w:t>
      </w:r>
    </w:p>
    <w:p w:rsidR="00000000" w:rsidRDefault="00102EE0">
      <w:pPr>
        <w:pStyle w:val="newnewnewnewnewnewnewnew"/>
        <w:wordWrap w:val="0"/>
        <w:snapToGrid w:val="0"/>
        <w:spacing w:line="480" w:lineRule="auto"/>
        <w:ind w:firstLine="480"/>
        <w:divId w:val="1082793922"/>
        <w:rPr>
          <w:lang/>
        </w:rPr>
      </w:pPr>
      <w:r>
        <w:rPr>
          <w:rFonts w:hint="eastAsia"/>
          <w:color w:val="000000"/>
          <w:lang/>
        </w:rPr>
        <w:t>（九）降低油气使用成本。按照省的管道燃气定价机制，在我市“西气东送”</w:t>
      </w:r>
      <w:r>
        <w:rPr>
          <w:rFonts w:hint="eastAsia"/>
          <w:color w:val="000000"/>
          <w:lang/>
        </w:rPr>
        <w:t>管网接通后，根据气源价格变化情况调整管道燃气销售价格。制定财政补贴政策，按照实际减少煤炭使用量或节能量对进行“煤改气”的企业进行补贴。（责任单位：市发改局、</w:t>
      </w:r>
      <w:r>
        <w:rPr>
          <w:rFonts w:hint="eastAsia"/>
          <w:color w:val="000000"/>
          <w:shd w:val="clear" w:color="auto" w:fill="FFFFFF"/>
          <w:lang/>
        </w:rPr>
        <w:t>市</w:t>
      </w:r>
      <w:r>
        <w:rPr>
          <w:rFonts w:hint="eastAsia"/>
          <w:color w:val="000000"/>
          <w:lang/>
        </w:rPr>
        <w:t>住建管理局、市财政局、市经信局、市环保局）</w:t>
      </w:r>
    </w:p>
    <w:p w:rsidR="00000000" w:rsidRDefault="00102EE0">
      <w:pPr>
        <w:pStyle w:val="newnewnewnewnewnewnewnew"/>
        <w:wordWrap w:val="0"/>
        <w:snapToGrid w:val="0"/>
        <w:spacing w:line="480" w:lineRule="auto"/>
        <w:ind w:firstLine="480"/>
        <w:divId w:val="1082793922"/>
        <w:rPr>
          <w:lang/>
        </w:rPr>
      </w:pPr>
      <w:r>
        <w:rPr>
          <w:rFonts w:hint="eastAsia"/>
          <w:color w:val="000000"/>
          <w:lang/>
        </w:rPr>
        <w:t>五、降低企业融资成本</w:t>
      </w:r>
    </w:p>
    <w:p w:rsidR="00000000" w:rsidRDefault="00102EE0">
      <w:pPr>
        <w:pStyle w:val="newnewnewnewnewnewnewnew"/>
        <w:wordWrap w:val="0"/>
        <w:snapToGrid w:val="0"/>
        <w:spacing w:line="480" w:lineRule="auto"/>
        <w:ind w:firstLine="480"/>
        <w:divId w:val="1082793922"/>
        <w:rPr>
          <w:lang/>
        </w:rPr>
      </w:pPr>
      <w:r>
        <w:rPr>
          <w:rFonts w:hint="eastAsia"/>
          <w:color w:val="000000"/>
          <w:lang/>
        </w:rPr>
        <w:t>（十）支持应收账款融资。推动落实人行广州分行、省经信委等七部门转发的《小微企业应收账款融资专项行动工作方案（</w:t>
      </w:r>
      <w:r>
        <w:rPr>
          <w:rFonts w:hint="eastAsia"/>
          <w:color w:val="000000"/>
        </w:rPr>
        <w:t>2017</w:t>
      </w:r>
      <w:r>
        <w:rPr>
          <w:rFonts w:hint="eastAsia"/>
          <w:color w:val="000000"/>
          <w:lang/>
        </w:rPr>
        <w:t>—</w:t>
      </w:r>
      <w:r>
        <w:rPr>
          <w:rFonts w:hint="eastAsia"/>
          <w:color w:val="000000"/>
        </w:rPr>
        <w:t>2019</w:t>
      </w:r>
      <w:r>
        <w:rPr>
          <w:rFonts w:hint="eastAsia"/>
          <w:color w:val="000000"/>
          <w:lang/>
        </w:rPr>
        <w:t>年）》（广州银发〔</w:t>
      </w:r>
      <w:r>
        <w:rPr>
          <w:rFonts w:hint="eastAsia"/>
          <w:color w:val="000000"/>
        </w:rPr>
        <w:t>2017</w:t>
      </w:r>
      <w:r>
        <w:rPr>
          <w:rFonts w:hint="eastAsia"/>
          <w:color w:val="000000"/>
          <w:lang/>
        </w:rPr>
        <w:t>〕</w:t>
      </w:r>
      <w:r>
        <w:rPr>
          <w:rFonts w:hint="eastAsia"/>
          <w:color w:val="000000"/>
        </w:rPr>
        <w:t>180</w:t>
      </w:r>
      <w:r>
        <w:rPr>
          <w:rFonts w:hint="eastAsia"/>
          <w:color w:val="000000"/>
          <w:lang/>
        </w:rPr>
        <w:t>号）。发挥供应链核心企业引领作用，组织动员国有大企业、大型民营企业等供应链核心企业加入应收账款融资服务平台并开展系统对接，提高融</w:t>
      </w:r>
      <w:r>
        <w:rPr>
          <w:rFonts w:hint="eastAsia"/>
          <w:color w:val="000000"/>
          <w:lang/>
        </w:rPr>
        <w:t>资效率。引导金融机构等资金提供方优化应收账款融资业务流程。推动建立健全应收账款登记公示制度，开展面向金融机构、商业保理公司等应收账款融资主体的登记和查询服务。进一步发挥政府采购的政策导向作用，推进政府采购质押融资，为中小企业开展政府采购项下融资业务提供便利。大力推广中征动产融资统一登记平台和中征应收账款融资服务平台，有效盘活中小企业动产、应收账款融资。（责任单位：市人民银行、市金融局、市经信局、市财政局）</w:t>
      </w:r>
    </w:p>
    <w:p w:rsidR="00000000" w:rsidRDefault="00102EE0">
      <w:pPr>
        <w:pStyle w:val="newnewnewnewnewnewnewnewnew"/>
        <w:wordWrap w:val="0"/>
        <w:snapToGrid w:val="0"/>
        <w:spacing w:line="480" w:lineRule="auto"/>
        <w:ind w:firstLine="480"/>
        <w:divId w:val="1082793922"/>
        <w:rPr>
          <w:lang/>
        </w:rPr>
      </w:pPr>
      <w:r>
        <w:rPr>
          <w:rFonts w:hint="eastAsia"/>
          <w:color w:val="000000"/>
          <w:lang/>
        </w:rPr>
        <w:t>（十一）支持中小微企业以融资租赁的方式添置设备，通过贴息、风险补偿等方式，降低企业在升级改造、设备购置</w:t>
      </w:r>
      <w:r>
        <w:rPr>
          <w:rFonts w:hint="eastAsia"/>
          <w:color w:val="000000"/>
          <w:lang/>
        </w:rPr>
        <w:t>中的融资成本。（责任单位：市商务局、市经信局、市金融局、市财政局）</w:t>
      </w:r>
    </w:p>
    <w:p w:rsidR="00000000" w:rsidRDefault="00102EE0">
      <w:pPr>
        <w:pStyle w:val="newnewnewnewnewnewnewnewnewnewnewnewnewnewnewnewnewnewnewnewnewnewnew"/>
        <w:wordWrap w:val="0"/>
        <w:snapToGrid w:val="0"/>
        <w:spacing w:line="480" w:lineRule="auto"/>
        <w:ind w:firstLine="480"/>
        <w:divId w:val="1082793922"/>
        <w:rPr>
          <w:lang/>
        </w:rPr>
      </w:pPr>
      <w:r>
        <w:rPr>
          <w:rFonts w:hint="eastAsia"/>
          <w:color w:val="000000"/>
          <w:lang/>
        </w:rPr>
        <w:t>（十二）完善对金融机构的考核激励机制。优化激励考核指标，将降低实体经济企业融资成本措施的落实情况与获得大额财政性存款及政府投资项目贷款挂钩。</w:t>
      </w:r>
      <w:r>
        <w:rPr>
          <w:rFonts w:hint="eastAsia"/>
          <w:color w:val="000000"/>
          <w:shd w:val="clear" w:color="auto" w:fill="FFFFFF"/>
          <w:lang/>
        </w:rPr>
        <w:t>（</w:t>
      </w:r>
      <w:r>
        <w:rPr>
          <w:rFonts w:hint="eastAsia"/>
          <w:color w:val="000000"/>
          <w:lang/>
        </w:rPr>
        <w:t>责任单位：市金融局、</w:t>
      </w:r>
      <w:r>
        <w:rPr>
          <w:rFonts w:hint="eastAsia"/>
          <w:color w:val="000000"/>
          <w:shd w:val="clear" w:color="auto" w:fill="FFFFFF"/>
          <w:lang/>
        </w:rPr>
        <w:t>韶关银监分局</w:t>
      </w:r>
      <w:r>
        <w:rPr>
          <w:rFonts w:hint="eastAsia"/>
          <w:color w:val="000000"/>
          <w:lang/>
        </w:rPr>
        <w:t>、</w:t>
      </w:r>
      <w:r>
        <w:rPr>
          <w:rFonts w:hint="eastAsia"/>
          <w:color w:val="000000"/>
          <w:shd w:val="clear" w:color="auto" w:fill="FFFFFF"/>
          <w:lang/>
        </w:rPr>
        <w:t>市</w:t>
      </w:r>
      <w:r>
        <w:rPr>
          <w:rFonts w:hint="eastAsia"/>
          <w:color w:val="000000"/>
          <w:lang/>
        </w:rPr>
        <w:t>财政局、市人民银行</w:t>
      </w:r>
      <w:r>
        <w:rPr>
          <w:rFonts w:hint="eastAsia"/>
          <w:color w:val="000000"/>
          <w:shd w:val="clear" w:color="auto" w:fill="FFFFFF"/>
          <w:lang/>
        </w:rPr>
        <w:t>）</w:t>
      </w:r>
    </w:p>
    <w:p w:rsidR="00000000" w:rsidRDefault="00102EE0">
      <w:pPr>
        <w:pStyle w:val="newnewnewnewnewnewnewnewnewnewnewnewnewnewnewnewnewnewnewnewnewnewnew"/>
        <w:wordWrap w:val="0"/>
        <w:snapToGrid w:val="0"/>
        <w:spacing w:line="480" w:lineRule="auto"/>
        <w:ind w:firstLine="480"/>
        <w:divId w:val="1082793922"/>
        <w:rPr>
          <w:lang/>
        </w:rPr>
      </w:pPr>
      <w:r>
        <w:rPr>
          <w:rFonts w:hint="eastAsia"/>
          <w:color w:val="000000"/>
          <w:lang/>
        </w:rPr>
        <w:t>（十三）落实企业上市融资补贴政策。企业在深、沪证券交易所成功上市，且注册地在我市的企业，募集资金</w:t>
      </w:r>
      <w:r>
        <w:rPr>
          <w:rFonts w:hint="eastAsia"/>
          <w:color w:val="000000"/>
        </w:rPr>
        <w:t>80%</w:t>
      </w:r>
      <w:r>
        <w:rPr>
          <w:rFonts w:hint="eastAsia"/>
          <w:color w:val="000000"/>
          <w:lang/>
        </w:rPr>
        <w:t>以上投资在韶关辖区内的，财政给予一次性专项扶持：融资额在</w:t>
      </w:r>
      <w:r>
        <w:rPr>
          <w:rFonts w:hint="eastAsia"/>
          <w:color w:val="000000"/>
        </w:rPr>
        <w:t>5</w:t>
      </w:r>
      <w:r>
        <w:rPr>
          <w:rFonts w:hint="eastAsia"/>
          <w:color w:val="000000"/>
          <w:lang/>
        </w:rPr>
        <w:t>亿元以上（含</w:t>
      </w:r>
      <w:r>
        <w:rPr>
          <w:rFonts w:hint="eastAsia"/>
          <w:color w:val="000000"/>
        </w:rPr>
        <w:t>5</w:t>
      </w:r>
      <w:r>
        <w:rPr>
          <w:rFonts w:hint="eastAsia"/>
          <w:color w:val="000000"/>
          <w:lang/>
        </w:rPr>
        <w:t>亿元），给予企业</w:t>
      </w:r>
      <w:r>
        <w:rPr>
          <w:rFonts w:hint="eastAsia"/>
          <w:color w:val="000000"/>
        </w:rPr>
        <w:t>300</w:t>
      </w:r>
      <w:r>
        <w:rPr>
          <w:rFonts w:hint="eastAsia"/>
          <w:color w:val="000000"/>
          <w:lang/>
        </w:rPr>
        <w:t>万元的资金扶持；融资额在</w:t>
      </w:r>
      <w:r>
        <w:rPr>
          <w:rFonts w:hint="eastAsia"/>
          <w:color w:val="000000"/>
        </w:rPr>
        <w:t>1</w:t>
      </w:r>
      <w:r>
        <w:rPr>
          <w:rFonts w:hint="eastAsia"/>
          <w:color w:val="000000"/>
          <w:lang/>
        </w:rPr>
        <w:t>亿元以上（含</w:t>
      </w:r>
      <w:r>
        <w:rPr>
          <w:rFonts w:hint="eastAsia"/>
          <w:color w:val="000000"/>
        </w:rPr>
        <w:t>1</w:t>
      </w:r>
      <w:r>
        <w:rPr>
          <w:rFonts w:hint="eastAsia"/>
          <w:color w:val="000000"/>
          <w:lang/>
        </w:rPr>
        <w:t>亿元）</w:t>
      </w:r>
      <w:r>
        <w:rPr>
          <w:rFonts w:hint="eastAsia"/>
          <w:color w:val="000000"/>
        </w:rPr>
        <w:t>5</w:t>
      </w:r>
      <w:r>
        <w:rPr>
          <w:rFonts w:hint="eastAsia"/>
          <w:color w:val="000000"/>
          <w:lang/>
        </w:rPr>
        <w:t>亿元以下，给予企业</w:t>
      </w:r>
      <w:r>
        <w:rPr>
          <w:rFonts w:hint="eastAsia"/>
          <w:color w:val="000000"/>
        </w:rPr>
        <w:t>200</w:t>
      </w:r>
      <w:r>
        <w:rPr>
          <w:rFonts w:hint="eastAsia"/>
          <w:color w:val="000000"/>
          <w:lang/>
        </w:rPr>
        <w:t>万元的资金扶持；融资额在</w:t>
      </w:r>
      <w:r>
        <w:rPr>
          <w:rFonts w:hint="eastAsia"/>
          <w:color w:val="000000"/>
        </w:rPr>
        <w:t>1</w:t>
      </w:r>
      <w:r>
        <w:rPr>
          <w:rFonts w:hint="eastAsia"/>
          <w:color w:val="000000"/>
          <w:lang/>
        </w:rPr>
        <w:t>亿元以下，给予企业</w:t>
      </w:r>
      <w:r>
        <w:rPr>
          <w:rFonts w:hint="eastAsia"/>
          <w:color w:val="000000"/>
        </w:rPr>
        <w:t>100</w:t>
      </w:r>
      <w:r>
        <w:rPr>
          <w:rFonts w:hint="eastAsia"/>
          <w:color w:val="000000"/>
          <w:lang/>
        </w:rPr>
        <w:t>万元的资金扶持。上市企业再融资（增发、配股、发行债券等），募集资金</w:t>
      </w:r>
      <w:r>
        <w:rPr>
          <w:rFonts w:hint="eastAsia"/>
          <w:color w:val="000000"/>
        </w:rPr>
        <w:t>80%</w:t>
      </w:r>
      <w:r>
        <w:rPr>
          <w:rFonts w:hint="eastAsia"/>
          <w:color w:val="000000"/>
          <w:lang/>
        </w:rPr>
        <w:t>以上投资在韶关辖区内的，融资额</w:t>
      </w:r>
      <w:r>
        <w:rPr>
          <w:rFonts w:hint="eastAsia"/>
          <w:color w:val="000000"/>
        </w:rPr>
        <w:t>2</w:t>
      </w:r>
      <w:r>
        <w:rPr>
          <w:rFonts w:hint="eastAsia"/>
          <w:color w:val="000000"/>
          <w:lang/>
        </w:rPr>
        <w:t>亿元以下（含</w:t>
      </w:r>
      <w:r>
        <w:rPr>
          <w:rFonts w:hint="eastAsia"/>
          <w:color w:val="000000"/>
        </w:rPr>
        <w:t>2</w:t>
      </w:r>
      <w:r>
        <w:rPr>
          <w:rFonts w:hint="eastAsia"/>
          <w:color w:val="000000"/>
          <w:lang/>
        </w:rPr>
        <w:t>亿元），给予企业</w:t>
      </w:r>
      <w:r>
        <w:rPr>
          <w:rFonts w:hint="eastAsia"/>
          <w:color w:val="000000"/>
        </w:rPr>
        <w:t>20</w:t>
      </w:r>
      <w:r>
        <w:rPr>
          <w:rFonts w:hint="eastAsia"/>
          <w:color w:val="000000"/>
          <w:lang/>
        </w:rPr>
        <w:t>万元的资金扶持；融资额超过</w:t>
      </w:r>
      <w:r>
        <w:rPr>
          <w:rFonts w:hint="eastAsia"/>
          <w:color w:val="000000"/>
        </w:rPr>
        <w:t>2</w:t>
      </w:r>
      <w:r>
        <w:rPr>
          <w:rFonts w:hint="eastAsia"/>
          <w:color w:val="000000"/>
          <w:lang/>
        </w:rPr>
        <w:t>亿元后，每增加</w:t>
      </w:r>
      <w:r>
        <w:rPr>
          <w:rFonts w:hint="eastAsia"/>
          <w:color w:val="000000"/>
        </w:rPr>
        <w:t>1</w:t>
      </w:r>
      <w:r>
        <w:rPr>
          <w:rFonts w:hint="eastAsia"/>
          <w:color w:val="000000"/>
          <w:lang/>
        </w:rPr>
        <w:t>亿元，增加扶持资金</w:t>
      </w:r>
      <w:r>
        <w:rPr>
          <w:rFonts w:hint="eastAsia"/>
          <w:color w:val="000000"/>
        </w:rPr>
        <w:t>10</w:t>
      </w:r>
      <w:r>
        <w:rPr>
          <w:rFonts w:hint="eastAsia"/>
          <w:color w:val="000000"/>
          <w:lang/>
        </w:rPr>
        <w:t>万元。企业在全国中小企业股份转让系统成功挂牌，给予</w:t>
      </w:r>
      <w:r>
        <w:rPr>
          <w:rFonts w:hint="eastAsia"/>
          <w:color w:val="000000"/>
        </w:rPr>
        <w:t>50</w:t>
      </w:r>
      <w:r>
        <w:rPr>
          <w:rFonts w:hint="eastAsia"/>
          <w:color w:val="000000"/>
          <w:lang/>
        </w:rPr>
        <w:t>万元的资金扶持；挂牌后成功融资</w:t>
      </w:r>
      <w:r>
        <w:rPr>
          <w:rFonts w:hint="eastAsia"/>
          <w:color w:val="000000"/>
        </w:rPr>
        <w:t>2000</w:t>
      </w:r>
      <w:r>
        <w:rPr>
          <w:rFonts w:hint="eastAsia"/>
          <w:color w:val="000000"/>
          <w:lang/>
        </w:rPr>
        <w:t>万元以上（含</w:t>
      </w:r>
      <w:r>
        <w:rPr>
          <w:rFonts w:hint="eastAsia"/>
          <w:color w:val="000000"/>
        </w:rPr>
        <w:t>2000</w:t>
      </w:r>
      <w:r>
        <w:rPr>
          <w:rFonts w:hint="eastAsia"/>
          <w:color w:val="000000"/>
          <w:lang/>
        </w:rPr>
        <w:t>万元）的，且募集资金</w:t>
      </w:r>
      <w:r>
        <w:rPr>
          <w:rFonts w:hint="eastAsia"/>
          <w:color w:val="000000"/>
        </w:rPr>
        <w:t>80%</w:t>
      </w:r>
      <w:r>
        <w:rPr>
          <w:rFonts w:hint="eastAsia"/>
          <w:color w:val="000000"/>
          <w:lang/>
        </w:rPr>
        <w:t>以上投资在韶关辖区内的，财政给予一次性专项扶持。鼓励各县（市、区）安排配套资金，对辖区内上市融资</w:t>
      </w:r>
      <w:r>
        <w:rPr>
          <w:rFonts w:hint="eastAsia"/>
          <w:color w:val="000000"/>
          <w:lang/>
        </w:rPr>
        <w:t>企业进行奖励，形成市、县两级政策叠加，推动更多企业利用资本市场实现跨越发展。（责任单位：市金融局、</w:t>
      </w:r>
      <w:r>
        <w:rPr>
          <w:rFonts w:hint="eastAsia"/>
          <w:color w:val="000000"/>
          <w:shd w:val="clear" w:color="auto" w:fill="FFFFFF"/>
          <w:lang/>
        </w:rPr>
        <w:t>市</w:t>
      </w:r>
      <w:r>
        <w:rPr>
          <w:rFonts w:hint="eastAsia"/>
          <w:color w:val="000000"/>
          <w:lang/>
        </w:rPr>
        <w:t>财政局）</w:t>
      </w:r>
    </w:p>
    <w:p w:rsidR="00000000" w:rsidRDefault="00102EE0">
      <w:pPr>
        <w:pStyle w:val="newnewnewnewnewnewnewnewnewnewnewnewnewnewnewnewnewnewnewnewnewnewnew"/>
        <w:wordWrap w:val="0"/>
        <w:snapToGrid w:val="0"/>
        <w:spacing w:line="480" w:lineRule="auto"/>
        <w:ind w:firstLine="480"/>
        <w:divId w:val="1082793922"/>
        <w:rPr>
          <w:lang/>
        </w:rPr>
      </w:pPr>
      <w:r>
        <w:rPr>
          <w:rFonts w:hint="eastAsia"/>
          <w:color w:val="000000"/>
          <w:lang/>
        </w:rPr>
        <w:t>（十四）推动我市融资担保机构与省融资再担保公司合作，推进省融资再担保公司以出资控股或参股形式支持我市政策性融资担保机构发展，扩大我市金融供给，提高我市融资担保公司经营管理水平。（责任单位：市金融局、莞韶园管委会、市经信局、市财政局）</w:t>
      </w:r>
    </w:p>
    <w:p w:rsidR="00000000" w:rsidRDefault="00102EE0">
      <w:pPr>
        <w:pStyle w:val="newnewnewnewnewnewnewnewnew"/>
        <w:wordWrap w:val="0"/>
        <w:snapToGrid w:val="0"/>
        <w:spacing w:line="480" w:lineRule="auto"/>
        <w:ind w:firstLine="480"/>
        <w:divId w:val="1082793922"/>
        <w:rPr>
          <w:lang/>
        </w:rPr>
      </w:pPr>
      <w:r>
        <w:rPr>
          <w:rFonts w:hint="eastAsia"/>
          <w:color w:val="000000"/>
          <w:lang/>
        </w:rPr>
        <w:t>六、降低企业制度性交易成本</w:t>
      </w:r>
    </w:p>
    <w:p w:rsidR="00000000" w:rsidRDefault="00102EE0">
      <w:pPr>
        <w:pStyle w:val="newnewnewnewnewnewnewnewnew"/>
        <w:wordWrap w:val="0"/>
        <w:snapToGrid w:val="0"/>
        <w:spacing w:line="480" w:lineRule="auto"/>
        <w:ind w:firstLine="480"/>
        <w:divId w:val="1082793922"/>
        <w:rPr>
          <w:lang/>
        </w:rPr>
      </w:pPr>
      <w:r>
        <w:rPr>
          <w:rFonts w:hint="eastAsia"/>
          <w:color w:val="000000"/>
          <w:lang/>
        </w:rPr>
        <w:t>（十五）制定出台《韶关市进一步优化建设工程审批流程的实施意见》，将投资审批事项和审批时限在现有基础上再压减四分之一以上，投资项目立项、报建、</w:t>
      </w:r>
      <w:r>
        <w:rPr>
          <w:rFonts w:hint="eastAsia"/>
          <w:color w:val="000000"/>
          <w:lang/>
        </w:rPr>
        <w:t>验收阶段涉及的行政许可、公共服务和其他事项，由</w:t>
      </w:r>
      <w:r>
        <w:rPr>
          <w:rFonts w:hint="eastAsia"/>
          <w:color w:val="000000"/>
        </w:rPr>
        <w:t>120</w:t>
      </w:r>
      <w:r>
        <w:rPr>
          <w:rFonts w:hint="eastAsia"/>
          <w:color w:val="000000"/>
          <w:lang/>
        </w:rPr>
        <w:t>多项优化整合为</w:t>
      </w:r>
      <w:r>
        <w:rPr>
          <w:rFonts w:hint="eastAsia"/>
          <w:color w:val="000000"/>
        </w:rPr>
        <w:t>80</w:t>
      </w:r>
      <w:r>
        <w:rPr>
          <w:rFonts w:hint="eastAsia"/>
          <w:color w:val="000000"/>
          <w:lang/>
        </w:rPr>
        <w:t>项左右。〔责任单位：市发改局、市编办、市国土资源局、市环保局、市住建管理局、市规划局、市行政服务中心，各县（市、区）政府〕</w:t>
      </w:r>
    </w:p>
    <w:p w:rsidR="00000000" w:rsidRDefault="00102EE0">
      <w:pPr>
        <w:pStyle w:val="newnewnewnewnewnewnewnewnew"/>
        <w:wordWrap w:val="0"/>
        <w:snapToGrid w:val="0"/>
        <w:spacing w:line="480" w:lineRule="auto"/>
        <w:ind w:firstLine="480"/>
        <w:divId w:val="1082793922"/>
        <w:rPr>
          <w:lang/>
        </w:rPr>
      </w:pPr>
      <w:r>
        <w:rPr>
          <w:rFonts w:hint="eastAsia"/>
          <w:color w:val="000000"/>
          <w:lang/>
        </w:rPr>
        <w:t>（十六）建立适用我市现状“承诺许可”、“容承受理”报建服务模式。（责任单位：市住建管理局）</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十七）对不存在开工违约、闲置问题（非企业原因除外）的制造业用地，使用权人申请宗地分割或分割转让的，经规划、产业论证分割或分割转让有利于提升项目用地使用效率（分割或分割转让后涉及调整产业、行业的，需进行产业、行业准入条件审核）</w:t>
      </w:r>
      <w:r>
        <w:rPr>
          <w:rFonts w:hint="eastAsia"/>
          <w:color w:val="000000"/>
          <w:lang/>
        </w:rPr>
        <w:t>，并按照原宗地约定的规划条件（容积率除外）与投资要求核定分割范围及分割后各地块的指标的，可以按程序办理分割或分割转让手续。（责任单位：市国土资源局、市规划局、莞韶园管委会、市地税局）</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十八）对不存在开工违约、闲置问题（非企业原因除外）的制造业用地，使用权人申请宗地合并的，可以按程序合并登记手续；涉及调整产业、行业的，需进行产业、行业准入条件审核并按要求核定投资要求。（责任单位：市国土资源局、市规划局、莞韶园管委会）</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（十九）在符合规划（含经批准调整后的规划）、不改变用途的前提下，使用权人申请在其工业用地、</w:t>
      </w:r>
      <w:r>
        <w:rPr>
          <w:rFonts w:hint="eastAsia"/>
          <w:color w:val="000000"/>
          <w:lang/>
        </w:rPr>
        <w:t>仓储用地上对工矿厂房、仓储用房进行改建、扩建和利用地下空间，提高容积率、建筑密度，对涉及的土地价款差额予以免收。（责任单位：市国土资源局、市规划局、莞韶园管委会、华南先进装备产业园管委会）</w:t>
      </w:r>
    </w:p>
    <w:p w:rsidR="00000000" w:rsidRDefault="00102EE0">
      <w:pPr>
        <w:pStyle w:val="newnewnewnewnewnewnewnewnew"/>
        <w:wordWrap w:val="0"/>
        <w:snapToGrid w:val="0"/>
        <w:spacing w:line="480" w:lineRule="auto"/>
        <w:ind w:firstLine="480"/>
        <w:divId w:val="1082793922"/>
        <w:rPr>
          <w:lang/>
        </w:rPr>
      </w:pPr>
      <w:r>
        <w:rPr>
          <w:rFonts w:hint="eastAsia"/>
          <w:color w:val="000000"/>
          <w:lang/>
        </w:rPr>
        <w:t>（二十）建立工业用地、物业托管机制。已取得工业用地的企业因自身能力不足、投资意愿或投资计划调整等原因，提出土地托管的，由园区管委会（或下属企业）与企业签订托管协议，由园区管委会实行集中土地托管，进行统一规划、统一招商、统一开发，盘活所获得收益按托管协议与托管企业进行合理分成。〔责任单位：莞韶园管委会、华南先进装备产业园管</w:t>
      </w:r>
      <w:r>
        <w:rPr>
          <w:rFonts w:hint="eastAsia"/>
          <w:color w:val="000000"/>
          <w:lang/>
        </w:rPr>
        <w:t>委会、市发改局、市经信局，市规划局、市国土资源局、各县（市、区）政府〕</w:t>
      </w:r>
    </w:p>
    <w:p w:rsidR="00000000" w:rsidRDefault="00102EE0">
      <w:pPr>
        <w:pStyle w:val="newnewnewnewnewnewnewnewnew"/>
        <w:wordWrap w:val="0"/>
        <w:snapToGrid w:val="0"/>
        <w:spacing w:line="480" w:lineRule="auto"/>
        <w:ind w:firstLine="480"/>
        <w:divId w:val="1082793922"/>
        <w:rPr>
          <w:lang/>
        </w:rPr>
      </w:pPr>
      <w:r>
        <w:rPr>
          <w:rFonts w:hint="eastAsia"/>
          <w:color w:val="000000"/>
          <w:lang/>
        </w:rPr>
        <w:t>（二十一）支持制造业用地流转。对使用权人不存在违约、闲置问题（非企业原因除外）且避免税收流失的前提下，支持制造业用地使用权人申请将用地变更到其全资子公司名下，或申请使用权人名称变更。〔责任单位：莞韶园管委会、华南先进装备产业园管委会、市国土资源局、市国税局、市地税局、各县（市、区）政府〕</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（二十二）清理规范中介服务事项。根据国家和省的清理规范情况，结合韶关实际，继续清理规范行政审批中介服务事项，出台清理规范目录和保留清单。严格执行清单管</w:t>
      </w:r>
      <w:r>
        <w:rPr>
          <w:rFonts w:hint="eastAsia"/>
          <w:color w:val="000000"/>
          <w:lang/>
        </w:rPr>
        <w:t>理制度，今后凡未纳入清单的中介服务事项，一律不得作为行政审批受理条件实施，不得在申请材料和审批条件中提出相关中介服务要求。（责任单位：市编办</w:t>
      </w:r>
      <w:r>
        <w:rPr>
          <w:rFonts w:hint="eastAsia"/>
          <w:color w:val="000000"/>
          <w:spacing w:val="3"/>
          <w:lang/>
        </w:rPr>
        <w:t>、市行政服务中心</w:t>
      </w:r>
      <w:r>
        <w:rPr>
          <w:rFonts w:hint="eastAsia"/>
          <w:color w:val="000000"/>
          <w:lang/>
        </w:rPr>
        <w:t>）</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七、支持培育制造业新兴支柱产业</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二十三）加大财政扶持力度支持制造业发展，市财政预算每年安排扶持资金，通过股权投资、贴息、事后奖补等方式或以省专项扶持项目的配套资金，支持制造业企业加大技改投入，加快技术改造，促进产业转型升级。（责任单位：市经信局、市财政局）</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二十四）对经省认定进行重点支持和培育的万亿级制造业新兴支柱产业的标志性重大项目落地、关键核心技术攻关、重大兼并重组、颠覆性创新成果转化等项目，市本级财政根据省的扶持额度给予配套支持；对重点企业新技术研发及产业化、扩产增效、产业链上下游配套协作等给予相应的配套补助。（责任单位：市经信局、市财政局）</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（二十五）对符合国家产业政策和《广东省工业企业技术改造指导目录》、取得技术改造投资项目备案证，且主营业务收入</w:t>
      </w:r>
      <w:r>
        <w:rPr>
          <w:rFonts w:hint="eastAsia"/>
          <w:color w:val="000000"/>
        </w:rPr>
        <w:t xml:space="preserve"> 1000</w:t>
      </w:r>
      <w:r>
        <w:rPr>
          <w:rFonts w:hint="eastAsia"/>
          <w:color w:val="000000"/>
          <w:lang/>
        </w:rPr>
        <w:t>万元以上工业企业，按企业技术改造对财政共享增量额度中省级分成部分的</w:t>
      </w:r>
      <w:r>
        <w:rPr>
          <w:rFonts w:hint="eastAsia"/>
          <w:color w:val="000000"/>
        </w:rPr>
        <w:t>60%</w:t>
      </w:r>
      <w:r>
        <w:rPr>
          <w:rFonts w:hint="eastAsia"/>
          <w:color w:val="000000"/>
          <w:lang/>
        </w:rPr>
        <w:t>、地市级分成部分的</w:t>
      </w:r>
      <w:r>
        <w:rPr>
          <w:rFonts w:hint="eastAsia"/>
          <w:color w:val="000000"/>
        </w:rPr>
        <w:t>50</w:t>
      </w:r>
      <w:r>
        <w:rPr>
          <w:rFonts w:hint="eastAsia"/>
          <w:color w:val="000000"/>
        </w:rPr>
        <w:t>%</w:t>
      </w:r>
      <w:r>
        <w:rPr>
          <w:rFonts w:hint="eastAsia"/>
          <w:color w:val="000000"/>
          <w:lang/>
        </w:rPr>
        <w:t>对企业进行奖补，进一步加大补助力度。（责任单位：市经信局、市财政局）</w:t>
      </w:r>
    </w:p>
    <w:p w:rsidR="00000000" w:rsidRDefault="00102EE0">
      <w:pPr>
        <w:pStyle w:val="newnewnewnewnewnewnewnewnewnewnewnewnewnewnewnewnewnewnewnewnewnewnewnewnewnewnewnewnewnewnew"/>
        <w:wordWrap w:val="0"/>
        <w:snapToGrid w:val="0"/>
        <w:spacing w:line="480" w:lineRule="auto"/>
        <w:ind w:firstLine="480"/>
        <w:divId w:val="1082793922"/>
        <w:rPr>
          <w:lang/>
        </w:rPr>
      </w:pPr>
      <w:r>
        <w:rPr>
          <w:rFonts w:hint="eastAsia"/>
          <w:color w:val="000000"/>
          <w:lang/>
        </w:rPr>
        <w:t>（二十六）对实施到位投资</w:t>
      </w:r>
      <w:r>
        <w:rPr>
          <w:rFonts w:hint="eastAsia"/>
          <w:color w:val="000000"/>
        </w:rPr>
        <w:t>10</w:t>
      </w:r>
      <w:r>
        <w:rPr>
          <w:rFonts w:hint="eastAsia"/>
          <w:color w:val="000000"/>
          <w:lang/>
        </w:rPr>
        <w:t>亿元以上重大工业项目，可在项目用地范围外、工业园区范围内，且符合城市规划（规划性质为商住用地）的地块，按不超过工业用地总净用地面积的</w:t>
      </w:r>
      <w:r>
        <w:rPr>
          <w:rFonts w:hint="eastAsia"/>
          <w:color w:val="000000"/>
        </w:rPr>
        <w:t>10%</w:t>
      </w:r>
      <w:r>
        <w:rPr>
          <w:rFonts w:hint="eastAsia"/>
          <w:color w:val="000000"/>
          <w:lang/>
        </w:rPr>
        <w:t>供地，用于配建人才住房。〔责任单位：莞韶园管委会、华南先进装备产业园管委会、市商务局、市经信局、市财政局、</w:t>
      </w:r>
      <w:r>
        <w:rPr>
          <w:rFonts w:hint="eastAsia"/>
          <w:color w:val="000000"/>
          <w:shd w:val="clear" w:color="auto" w:fill="FFFFFF"/>
          <w:lang/>
        </w:rPr>
        <w:t>市</w:t>
      </w:r>
      <w:r>
        <w:rPr>
          <w:rFonts w:hint="eastAsia"/>
          <w:color w:val="000000"/>
          <w:lang/>
        </w:rPr>
        <w:t>国土资源局、市规划局、各县（市、区）政府〕</w:t>
      </w:r>
    </w:p>
    <w:p w:rsidR="00000000" w:rsidRDefault="00102EE0">
      <w:pPr>
        <w:pStyle w:val="newnewnewnewnewnewnewnewnewnewnewnewnewnewnewnewnewnewnewnewnewnewnewnewnewnewnewnewnewnewnew"/>
        <w:wordWrap w:val="0"/>
        <w:snapToGrid w:val="0"/>
        <w:spacing w:line="480" w:lineRule="auto"/>
        <w:ind w:firstLine="480"/>
        <w:divId w:val="1082793922"/>
        <w:rPr>
          <w:lang/>
        </w:rPr>
      </w:pPr>
      <w:r>
        <w:rPr>
          <w:rFonts w:hint="eastAsia"/>
          <w:color w:val="000000"/>
          <w:lang/>
        </w:rPr>
        <w:t>（二十七）全市用地指标安排优先向华南先进装备产业园倾斜。（责任单位</w:t>
      </w:r>
      <w:r>
        <w:rPr>
          <w:rFonts w:hint="eastAsia"/>
          <w:color w:val="000000"/>
        </w:rPr>
        <w:t>:</w:t>
      </w:r>
      <w:r>
        <w:rPr>
          <w:rFonts w:hint="eastAsia"/>
          <w:color w:val="000000"/>
          <w:lang/>
        </w:rPr>
        <w:t>市国土资源局、华南先进装备产业园管委会）</w:t>
      </w:r>
    </w:p>
    <w:p w:rsidR="00000000" w:rsidRDefault="00102EE0">
      <w:pPr>
        <w:pStyle w:val="newnewnewnewnewnewnewnewnewnewnewnewnewnewnewnewnewnewnewnewnewnewnewnewnewnewnewnewnewnewnew"/>
        <w:wordWrap w:val="0"/>
        <w:snapToGrid w:val="0"/>
        <w:spacing w:line="480" w:lineRule="auto"/>
        <w:ind w:firstLine="480"/>
        <w:divId w:val="1082793922"/>
        <w:rPr>
          <w:lang/>
        </w:rPr>
      </w:pPr>
      <w:r>
        <w:rPr>
          <w:rFonts w:hint="eastAsia"/>
          <w:color w:val="000000"/>
          <w:lang/>
        </w:rPr>
        <w:t>（二十八）加</w:t>
      </w:r>
      <w:r>
        <w:rPr>
          <w:rFonts w:hint="eastAsia"/>
          <w:color w:val="000000"/>
          <w:lang/>
        </w:rPr>
        <w:t>大重大产业项目招商引资的支持力度，按园区功能定位，对实际投资额超过</w:t>
      </w:r>
      <w:r>
        <w:rPr>
          <w:rFonts w:hint="eastAsia"/>
          <w:color w:val="000000"/>
        </w:rPr>
        <w:t>10</w:t>
      </w:r>
      <w:r>
        <w:rPr>
          <w:rFonts w:hint="eastAsia"/>
          <w:color w:val="000000"/>
          <w:lang/>
        </w:rPr>
        <w:t>亿元以上，生产设备投资</w:t>
      </w:r>
      <w:r>
        <w:rPr>
          <w:rFonts w:hint="eastAsia"/>
          <w:color w:val="000000"/>
        </w:rPr>
        <w:t>5</w:t>
      </w:r>
      <w:r>
        <w:rPr>
          <w:rFonts w:hint="eastAsia"/>
          <w:color w:val="000000"/>
          <w:lang/>
        </w:rPr>
        <w:t>亿元以上，且效益良好的重大工业战略性新兴产业项目，在建成达产后，项目所在地财政部门对项目设备购置部分予以适当配套扶持，单个项目一般不超过</w:t>
      </w:r>
      <w:r>
        <w:rPr>
          <w:rFonts w:hint="eastAsia"/>
          <w:color w:val="000000"/>
        </w:rPr>
        <w:t>1000</w:t>
      </w:r>
      <w:r>
        <w:rPr>
          <w:rFonts w:hint="eastAsia"/>
          <w:color w:val="000000"/>
          <w:lang/>
        </w:rPr>
        <w:t>万元，特殊项目“一事一议”。〔责任单位：市商务局、莞韶园管委会、东莞韶关对口帮扶指挥部、华南先进装备产业园管委会、市经信局、市财政局、各县（市、区）政府〕</w:t>
      </w:r>
    </w:p>
    <w:p w:rsidR="00000000" w:rsidRDefault="00102EE0">
      <w:pPr>
        <w:pStyle w:val="newnewnewnewnewnewnewnewnewnewnewnewnewnewnewnewnewnewnewnewnewnewnewnewnewnewnewnewnewnewnew"/>
        <w:wordWrap w:val="0"/>
        <w:snapToGrid w:val="0"/>
        <w:spacing w:line="480" w:lineRule="auto"/>
        <w:ind w:firstLine="480"/>
        <w:divId w:val="1082793922"/>
        <w:rPr>
          <w:lang/>
        </w:rPr>
      </w:pPr>
      <w:r>
        <w:rPr>
          <w:rFonts w:hint="eastAsia"/>
          <w:color w:val="000000"/>
          <w:lang/>
        </w:rPr>
        <w:t>八、扶持企业转型升级提质增效</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（二十九）支持高新技术企业发展。推动全市高新技术企业的培育和发展，提升科技创新企业的质量</w:t>
      </w:r>
      <w:r>
        <w:rPr>
          <w:rFonts w:hint="eastAsia"/>
          <w:color w:val="000000"/>
          <w:lang/>
        </w:rPr>
        <w:t>和效益，增强科技创新企业核心竞争力，制定出台《韶关市加快培育高新技术企业扶持办法》：对通过高新技术企业认定（含重新认定）、获得高新技术企业培育库入库的企业，市财政分别给予</w:t>
      </w:r>
      <w:r>
        <w:rPr>
          <w:rFonts w:hint="eastAsia"/>
          <w:color w:val="000000"/>
        </w:rPr>
        <w:t>30</w:t>
      </w:r>
      <w:r>
        <w:rPr>
          <w:rFonts w:hint="eastAsia"/>
          <w:color w:val="000000"/>
          <w:lang/>
        </w:rPr>
        <w:t>万元的一次性奖补（可与其它奖补资金叠加）；对企业获得省科技厅组织认定的高新技术产品，市财政予以</w:t>
      </w:r>
      <w:r>
        <w:rPr>
          <w:rFonts w:hint="eastAsia"/>
          <w:color w:val="000000"/>
        </w:rPr>
        <w:t>1</w:t>
      </w:r>
      <w:r>
        <w:rPr>
          <w:rFonts w:hint="eastAsia"/>
          <w:color w:val="000000"/>
          <w:lang/>
        </w:rPr>
        <w:t>万元</w:t>
      </w:r>
      <w:r>
        <w:rPr>
          <w:rFonts w:hint="eastAsia"/>
          <w:color w:val="000000"/>
        </w:rPr>
        <w:t>/</w:t>
      </w:r>
      <w:r>
        <w:rPr>
          <w:rFonts w:hint="eastAsia"/>
          <w:color w:val="000000"/>
          <w:lang/>
        </w:rPr>
        <w:t>件的一次性奖补；对引进的高新技术企业或高新技术企业培育库入库企业，在有效期内完成整体迁移落户的，市财政分别给予</w:t>
      </w:r>
      <w:r>
        <w:rPr>
          <w:rFonts w:hint="eastAsia"/>
          <w:color w:val="000000"/>
        </w:rPr>
        <w:t>300</w:t>
      </w:r>
      <w:r>
        <w:rPr>
          <w:rFonts w:hint="eastAsia"/>
          <w:color w:val="000000"/>
          <w:lang/>
        </w:rPr>
        <w:t>万元、</w:t>
      </w:r>
      <w:r>
        <w:rPr>
          <w:rFonts w:hint="eastAsia"/>
          <w:color w:val="000000"/>
        </w:rPr>
        <w:t>100</w:t>
      </w:r>
      <w:r>
        <w:rPr>
          <w:rFonts w:hint="eastAsia"/>
          <w:color w:val="000000"/>
          <w:lang/>
        </w:rPr>
        <w:t>万元的一次性奖补（可与其它奖补资金叠加）；对在有效期内高新技术企业的银行贷款给予财政贴息补助。每个年度内每家</w:t>
      </w:r>
      <w:r>
        <w:rPr>
          <w:rFonts w:hint="eastAsia"/>
          <w:color w:val="000000"/>
          <w:lang/>
        </w:rPr>
        <w:t>高新技术企业贴息补助的额度不超过其利息（按人民银行公布的同期贷款基准利率计算）实际发生额的</w:t>
      </w:r>
      <w:r>
        <w:rPr>
          <w:rFonts w:hint="eastAsia"/>
          <w:color w:val="000000"/>
        </w:rPr>
        <w:t>50%</w:t>
      </w:r>
      <w:r>
        <w:rPr>
          <w:rFonts w:hint="eastAsia"/>
          <w:color w:val="000000"/>
          <w:lang/>
        </w:rPr>
        <w:t>，最高不超</w:t>
      </w:r>
      <w:r>
        <w:rPr>
          <w:rFonts w:hint="eastAsia"/>
          <w:color w:val="000000"/>
        </w:rPr>
        <w:t>50</w:t>
      </w:r>
      <w:r>
        <w:rPr>
          <w:rFonts w:hint="eastAsia"/>
          <w:color w:val="000000"/>
          <w:lang/>
        </w:rPr>
        <w:t>万元。（责任单位：市科技局、市财政局）</w:t>
      </w:r>
    </w:p>
    <w:p w:rsidR="00000000" w:rsidRDefault="00102EE0">
      <w:pPr>
        <w:wordWrap w:val="0"/>
        <w:snapToGrid w:val="0"/>
        <w:spacing w:before="100" w:beforeAutospacing="1" w:after="100" w:afterAutospacing="1" w:line="480" w:lineRule="auto"/>
        <w:ind w:firstLine="480"/>
        <w:divId w:val="1082793922"/>
        <w:rPr>
          <w:lang/>
        </w:rPr>
      </w:pPr>
      <w:r>
        <w:rPr>
          <w:rFonts w:hint="eastAsia"/>
          <w:color w:val="000000"/>
          <w:lang/>
        </w:rPr>
        <w:t>（三十）支持企业创新平台的建设推动制造业企业科技创新、产业升级来促进实体经济的发展。鼓励企业建立自主研发机构，支持企业通过技术创新降低成本，制定出台《韶关市推动企业建立研发机构扶持办法》：对依托企业组建并获得科技部门批准的各级企业工程技术研究（开发）中心，市财政分别按市级、省级、国家级给予</w:t>
      </w:r>
      <w:r>
        <w:rPr>
          <w:rFonts w:hint="eastAsia"/>
          <w:color w:val="000000"/>
        </w:rPr>
        <w:t>10</w:t>
      </w:r>
      <w:r>
        <w:rPr>
          <w:rFonts w:hint="eastAsia"/>
          <w:color w:val="000000"/>
          <w:lang/>
        </w:rPr>
        <w:t>万元、</w:t>
      </w:r>
      <w:r>
        <w:rPr>
          <w:rFonts w:hint="eastAsia"/>
          <w:color w:val="000000"/>
        </w:rPr>
        <w:t>20</w:t>
      </w:r>
      <w:r>
        <w:rPr>
          <w:rFonts w:hint="eastAsia"/>
          <w:color w:val="000000"/>
          <w:lang/>
        </w:rPr>
        <w:t>万元</w:t>
      </w:r>
      <w:r>
        <w:rPr>
          <w:rFonts w:hint="eastAsia"/>
          <w:color w:val="000000"/>
          <w:lang/>
        </w:rPr>
        <w:t xml:space="preserve"> </w:t>
      </w:r>
      <w:r>
        <w:rPr>
          <w:rFonts w:hint="eastAsia"/>
          <w:color w:val="000000"/>
          <w:lang/>
        </w:rPr>
        <w:t>、</w:t>
      </w:r>
      <w:r>
        <w:rPr>
          <w:rFonts w:hint="eastAsia"/>
          <w:color w:val="000000"/>
        </w:rPr>
        <w:t>100</w:t>
      </w:r>
      <w:r>
        <w:rPr>
          <w:rFonts w:hint="eastAsia"/>
          <w:color w:val="000000"/>
          <w:lang/>
        </w:rPr>
        <w:t>万元的一次性奖补；对企业设立并经省科技厅认定</w:t>
      </w:r>
      <w:r>
        <w:rPr>
          <w:rFonts w:hint="eastAsia"/>
          <w:color w:val="000000"/>
          <w:lang/>
        </w:rPr>
        <w:t>的企业科技特派员工作站，市财政一次性给予</w:t>
      </w:r>
      <w:r>
        <w:rPr>
          <w:rFonts w:hint="eastAsia"/>
          <w:color w:val="000000"/>
        </w:rPr>
        <w:t>50</w:t>
      </w:r>
      <w:r>
        <w:rPr>
          <w:rFonts w:hint="eastAsia"/>
          <w:color w:val="000000"/>
          <w:lang/>
        </w:rPr>
        <w:t>万元的奖补；对企业设立并经省科技厅认定的企业现代农业科技创新中心，市财政一次性给予</w:t>
      </w:r>
      <w:r>
        <w:rPr>
          <w:rFonts w:hint="eastAsia"/>
          <w:color w:val="000000"/>
        </w:rPr>
        <w:t>100</w:t>
      </w:r>
      <w:r>
        <w:rPr>
          <w:rFonts w:hint="eastAsia"/>
          <w:color w:val="000000"/>
          <w:lang/>
        </w:rPr>
        <w:t>万元的奖补；对企业设立并经省科技厅认定的院士工作站，市财政一次性给予</w:t>
      </w:r>
      <w:r>
        <w:rPr>
          <w:rFonts w:hint="eastAsia"/>
          <w:color w:val="000000"/>
        </w:rPr>
        <w:t>100</w:t>
      </w:r>
      <w:r>
        <w:rPr>
          <w:rFonts w:hint="eastAsia"/>
          <w:color w:val="000000"/>
          <w:lang/>
        </w:rPr>
        <w:t>万元的奖补；对企业设立并经省科技厅认定的企业研究院，市财政一次性给予</w:t>
      </w:r>
      <w:r>
        <w:rPr>
          <w:rFonts w:hint="eastAsia"/>
          <w:color w:val="000000"/>
        </w:rPr>
        <w:t>200</w:t>
      </w:r>
      <w:r>
        <w:rPr>
          <w:rFonts w:hint="eastAsia"/>
          <w:color w:val="000000"/>
          <w:lang/>
        </w:rPr>
        <w:t>万元的奖补；对依托企业建设并经科技部门认定的省级企业重点实验室、国家级企业重点实验室，市财政分别给予</w:t>
      </w:r>
      <w:r>
        <w:rPr>
          <w:rFonts w:hint="eastAsia"/>
          <w:color w:val="000000"/>
        </w:rPr>
        <w:t>300</w:t>
      </w:r>
      <w:r>
        <w:rPr>
          <w:rFonts w:hint="eastAsia"/>
          <w:color w:val="000000"/>
          <w:lang/>
        </w:rPr>
        <w:t>万元、</w:t>
      </w:r>
      <w:r>
        <w:rPr>
          <w:rFonts w:hint="eastAsia"/>
          <w:color w:val="000000"/>
        </w:rPr>
        <w:t>800</w:t>
      </w:r>
      <w:r>
        <w:rPr>
          <w:rFonts w:hint="eastAsia"/>
          <w:color w:val="000000"/>
          <w:lang/>
        </w:rPr>
        <w:t>万元的一次性奖补。（责任单位：市科技局、市财政局）</w:t>
      </w:r>
      <w:r>
        <w:rPr>
          <w:rFonts w:hint="eastAsia"/>
          <w:color w:val="000000"/>
        </w:rPr>
        <w:t xml:space="preserve"> </w:t>
      </w:r>
    </w:p>
    <w:p w:rsidR="00000000" w:rsidRDefault="00102EE0">
      <w:pPr>
        <w:pStyle w:val="newnewnewnewnewnewnewnewnewnewnewnewnewnewnewnewnewnewnewnewnewnewnewnewnewnewnewnewnewnewnew"/>
        <w:wordWrap w:val="0"/>
        <w:snapToGrid w:val="0"/>
        <w:spacing w:line="480" w:lineRule="auto"/>
        <w:ind w:firstLine="480"/>
        <w:divId w:val="1082793922"/>
        <w:rPr>
          <w:lang/>
        </w:rPr>
      </w:pPr>
      <w:r>
        <w:rPr>
          <w:rFonts w:hint="eastAsia"/>
          <w:color w:val="000000"/>
          <w:lang/>
        </w:rPr>
        <w:t>（三十一）支持小微企业升级为“四上”企业。市财政每年安排资金</w:t>
      </w:r>
      <w:r>
        <w:rPr>
          <w:rFonts w:hint="eastAsia"/>
          <w:color w:val="000000"/>
          <w:lang/>
        </w:rPr>
        <w:t>，对“四上”企业实施奖励，其中，工业、资质建筑业、批发零售贸易企业</w:t>
      </w:r>
      <w:r>
        <w:rPr>
          <w:rFonts w:hint="eastAsia"/>
          <w:color w:val="000000"/>
        </w:rPr>
        <w:t>5</w:t>
      </w:r>
      <w:r>
        <w:rPr>
          <w:rFonts w:hint="eastAsia"/>
          <w:color w:val="000000"/>
          <w:lang/>
        </w:rPr>
        <w:t>万元</w:t>
      </w:r>
      <w:r>
        <w:rPr>
          <w:rFonts w:hint="eastAsia"/>
          <w:color w:val="000000"/>
        </w:rPr>
        <w:t>/</w:t>
      </w:r>
      <w:r>
        <w:rPr>
          <w:rFonts w:hint="eastAsia"/>
          <w:color w:val="000000"/>
          <w:lang/>
        </w:rPr>
        <w:t>家，住宿餐饮业和其他营利性服务业</w:t>
      </w:r>
      <w:r>
        <w:rPr>
          <w:rFonts w:hint="eastAsia"/>
          <w:color w:val="000000"/>
        </w:rPr>
        <w:t>3</w:t>
      </w:r>
      <w:r>
        <w:rPr>
          <w:rFonts w:hint="eastAsia"/>
          <w:color w:val="000000"/>
          <w:lang/>
        </w:rPr>
        <w:t>万元</w:t>
      </w:r>
      <w:r>
        <w:rPr>
          <w:rFonts w:hint="eastAsia"/>
          <w:color w:val="000000"/>
        </w:rPr>
        <w:t>/</w:t>
      </w:r>
      <w:r>
        <w:rPr>
          <w:rFonts w:hint="eastAsia"/>
          <w:color w:val="000000"/>
          <w:lang/>
        </w:rPr>
        <w:t>家。各县（市、区）政府给予配套奖励。对新增规模以上工业企业，连续三年按照其当年度对本级财政新增贡献的</w:t>
      </w:r>
      <w:r>
        <w:rPr>
          <w:rFonts w:hint="eastAsia"/>
          <w:color w:val="000000"/>
        </w:rPr>
        <w:t>50%</w:t>
      </w:r>
      <w:r>
        <w:rPr>
          <w:rFonts w:hint="eastAsia"/>
          <w:color w:val="000000"/>
          <w:lang/>
        </w:rPr>
        <w:t>安排该企业扶持发展资金。如企业三年内下规则需退还其所获得的资金。〔责任单位</w:t>
      </w:r>
      <w:r>
        <w:rPr>
          <w:rFonts w:hint="eastAsia"/>
          <w:color w:val="000000"/>
        </w:rPr>
        <w:t>:</w:t>
      </w:r>
      <w:r>
        <w:rPr>
          <w:rFonts w:hint="eastAsia"/>
          <w:color w:val="000000"/>
          <w:lang/>
        </w:rPr>
        <w:t>市经信局、市商务局、市住建管理局、市旅游局、市财政局、各县（市、区）政府〕</w:t>
      </w:r>
    </w:p>
    <w:p w:rsidR="00000000" w:rsidRDefault="00102EE0">
      <w:pPr>
        <w:pStyle w:val="newnewnewnewnewnewnewnewnewnewnewnewnewnewnewnewnewnewnewnewnewnewnewnewnewnewnewnewnewnewnew"/>
        <w:wordWrap w:val="0"/>
        <w:snapToGrid w:val="0"/>
        <w:spacing w:line="480" w:lineRule="auto"/>
        <w:ind w:firstLine="480"/>
        <w:divId w:val="1082793922"/>
        <w:rPr>
          <w:lang/>
        </w:rPr>
      </w:pPr>
      <w:r>
        <w:rPr>
          <w:rFonts w:hint="eastAsia"/>
          <w:color w:val="000000"/>
          <w:lang/>
        </w:rPr>
        <w:t>（三十二）实施企业“倍增计划”，着力推进产业总量扩张、结构优化和效益提升，对产值过亿元且税收超</w:t>
      </w:r>
      <w:r>
        <w:rPr>
          <w:rFonts w:hint="eastAsia"/>
          <w:color w:val="000000"/>
        </w:rPr>
        <w:t>500</w:t>
      </w:r>
      <w:r>
        <w:rPr>
          <w:rFonts w:hint="eastAsia"/>
          <w:color w:val="000000"/>
          <w:lang/>
        </w:rPr>
        <w:t>万元的工业企业，在未来</w:t>
      </w:r>
      <w:r>
        <w:rPr>
          <w:rFonts w:hint="eastAsia"/>
          <w:color w:val="000000"/>
        </w:rPr>
        <w:t>3</w:t>
      </w:r>
      <w:r>
        <w:rPr>
          <w:rFonts w:hint="eastAsia"/>
          <w:color w:val="000000"/>
          <w:lang/>
        </w:rPr>
        <w:t>年内企业承诺产值与税收能实现倍增且制定分年度发展目标规划，每年复合增长率不低于</w:t>
      </w:r>
      <w:r>
        <w:rPr>
          <w:rFonts w:hint="eastAsia"/>
          <w:color w:val="000000"/>
        </w:rPr>
        <w:t>26%</w:t>
      </w:r>
      <w:r>
        <w:rPr>
          <w:rFonts w:hint="eastAsia"/>
          <w:color w:val="000000"/>
          <w:lang/>
        </w:rPr>
        <w:t>，由各县（市、区）、园区每年度按企业税收增量本级分成部分的</w:t>
      </w:r>
      <w:r>
        <w:rPr>
          <w:rFonts w:hint="eastAsia"/>
          <w:color w:val="000000"/>
        </w:rPr>
        <w:t>50%</w:t>
      </w:r>
      <w:r>
        <w:rPr>
          <w:rFonts w:hint="eastAsia"/>
          <w:color w:val="000000"/>
          <w:lang/>
        </w:rPr>
        <w:t>对企业进行奖补，用于支持企业进行智能化升级改造、购买管理提升服务、加大研发投入或贷款贴息等。第三年度末，对实现倍增目标的企业，由市财政按照企业三年税收增量市级分成部分的</w:t>
      </w:r>
      <w:r>
        <w:rPr>
          <w:rFonts w:hint="eastAsia"/>
          <w:color w:val="000000"/>
        </w:rPr>
        <w:t>50%</w:t>
      </w:r>
      <w:r>
        <w:rPr>
          <w:rFonts w:hint="eastAsia"/>
          <w:color w:val="000000"/>
          <w:lang/>
        </w:rPr>
        <w:t>对企业进行奖补。鼓励园区设立企业上台阶奖、发展效益奖和新上规奖。〔责任单位</w:t>
      </w:r>
      <w:r>
        <w:rPr>
          <w:rFonts w:hint="eastAsia"/>
          <w:color w:val="000000"/>
        </w:rPr>
        <w:t>:</w:t>
      </w:r>
      <w:r>
        <w:rPr>
          <w:rFonts w:hint="eastAsia"/>
          <w:color w:val="000000"/>
          <w:lang/>
        </w:rPr>
        <w:t>市经信局、市财政局、莞韶园管委会、各县（市、区）政府〕</w:t>
      </w:r>
    </w:p>
    <w:p w:rsidR="00000000" w:rsidRDefault="00102EE0">
      <w:pPr>
        <w:pStyle w:val="newnewnewnewnewnewnewnewnewnewnewnewnewnewnewnewnewnewnewnewnewnewnewnewnewnewnewnewnewnewnew"/>
        <w:wordWrap w:val="0"/>
        <w:snapToGrid w:val="0"/>
        <w:spacing w:line="480" w:lineRule="auto"/>
        <w:ind w:firstLine="480"/>
        <w:divId w:val="1082793922"/>
        <w:rPr>
          <w:lang/>
        </w:rPr>
      </w:pPr>
      <w:r>
        <w:rPr>
          <w:rFonts w:hint="eastAsia"/>
          <w:color w:val="000000"/>
          <w:lang/>
        </w:rPr>
        <w:t>本通知自印发之日起实施。各市直相关职能部门要在文件发布之日</w:t>
      </w:r>
      <w:r>
        <w:rPr>
          <w:rFonts w:hint="eastAsia"/>
          <w:color w:val="000000"/>
          <w:lang/>
        </w:rPr>
        <w:t>起一个月内，进一步梳理、汇编现行涉企扶持政策，出台相应实施细则，明确流程</w:t>
      </w:r>
      <w:r>
        <w:rPr>
          <w:rFonts w:hint="eastAsia"/>
          <w:lang/>
        </w:rPr>
        <w:t>，并负责组织实施。各县（市、区）要根据本通知精神，结合本地工作实际，进一步加大支持力度。各县（市、区）、各部门要按分工将政策宣传贯彻落实到企业，落实情况于每年</w:t>
      </w:r>
      <w:r>
        <w:rPr>
          <w:rFonts w:hint="eastAsia"/>
        </w:rPr>
        <w:t>6</w:t>
      </w:r>
      <w:r>
        <w:rPr>
          <w:rFonts w:hint="eastAsia"/>
          <w:lang/>
        </w:rPr>
        <w:t>月、</w:t>
      </w:r>
      <w:r>
        <w:rPr>
          <w:rFonts w:hint="eastAsia"/>
        </w:rPr>
        <w:t>12</w:t>
      </w:r>
      <w:r>
        <w:rPr>
          <w:rFonts w:hint="eastAsia"/>
          <w:lang/>
        </w:rPr>
        <w:t>月底前报送至市经信局汇总，由市经信局审核后报送市政府。市政府视情况对各县（市、区）、各部门开展专项督查，对工作不力的县（市、区）、部门及相关责任人实施问责。</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D0E0D"/>
    <w:multiLevelType w:val="multilevel"/>
    <w:tmpl w:val="8A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7E14E7"/>
    <w:multiLevelType w:val="multilevel"/>
    <w:tmpl w:val="5EE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DB4979"/>
    <w:rsid w:val="00102EE0"/>
    <w:rsid w:val="00DB49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4">
    <w:name w:val="heading 4"/>
    <w:basedOn w:val="a"/>
    <w:link w:val="4Char"/>
    <w:uiPriority w:val="9"/>
    <w:qFormat/>
    <w:pPr>
      <w:spacing w:before="100" w:beforeAutospacing="1" w:after="100" w:afterAutospacing="1"/>
      <w:outlineLvl w:val="3"/>
    </w:pPr>
    <w:rPr>
      <w:b/>
      <w:bCs/>
    </w:rPr>
  </w:style>
  <w:style w:type="paragraph" w:styleId="6">
    <w:name w:val="heading 6"/>
    <w:basedOn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t10">
    <w:name w:val="mt10"/>
    <w:basedOn w:val="a"/>
    <w:pPr>
      <w:spacing w:before="100" w:beforeAutospacing="1" w:after="100" w:afterAutospacing="1"/>
    </w:pPr>
  </w:style>
  <w:style w:type="paragraph" w:customStyle="1" w:styleId="zkhyc">
    <w:name w:val="zkhyc"/>
    <w:basedOn w:val="a"/>
    <w:pPr>
      <w:spacing w:before="100" w:beforeAutospacing="1" w:after="100" w:afterAutospacing="1"/>
    </w:pPr>
    <w:rPr>
      <w:vanish/>
    </w:rPr>
  </w:style>
  <w:style w:type="character" w:customStyle="1" w:styleId="1Char">
    <w:name w:val="标题 1 Char"/>
    <w:basedOn w:val="a0"/>
    <w:link w:val="1"/>
    <w:uiPriority w:val="9"/>
    <w:rPr>
      <w:rFonts w:ascii="宋体" w:eastAsia="宋体" w:hAnsi="宋体" w:cs="宋体"/>
      <w:b/>
      <w:bCs/>
      <w:kern w:val="44"/>
      <w:sz w:val="44"/>
      <w:szCs w:val="44"/>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lose">
    <w:name w:val="close"/>
    <w:basedOn w:val="a0"/>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paragraph" w:customStyle="1" w:styleId="newnewnewnewnewnewnewnewnewnewnewnewnewnewnewnewnewnewnewnewnewnewnewnewnewnewnewnewnewnewnewnewnewnewnewnewnewnewnewnewnewnewnewnewnewnewnewnewnewnewnewnew">
    <w:name w:val="newnewnewnewnewnewnewnewnewnewnewnewnewnewnewnewnewnewnewnewnewnewnewnewnewnewnewnewnewnewnewnewnewnewnewnewnewnewnewnewnewnewnewnewnewnewnewnewnewnewnewnew"/>
    <w:basedOn w:val="a"/>
    <w:pPr>
      <w:spacing w:before="100" w:beforeAutospacing="1" w:after="100" w:afterAutospacing="1"/>
    </w:pPr>
  </w:style>
  <w:style w:type="paragraph" w:customStyle="1" w:styleId="newnewnewnewnewnewnewnewnewnewnewnewnewnewnewnewnewnewnewnewnewnewnewnewnewnewnewnewnewnewnewnewnewnewnewnewnew">
    <w:name w:val="newnewnewnewnewnewnewnewnewnewnewnewnewnewnewnewnewnewnewnewnewnewnewnewnewnewnewnewnewnewnewnewnewnewnewnewnew"/>
    <w:basedOn w:val="a"/>
    <w:pPr>
      <w:spacing w:before="100" w:beforeAutospacing="1" w:after="100" w:afterAutospacing="1"/>
    </w:pPr>
  </w:style>
  <w:style w:type="paragraph" w:customStyle="1" w:styleId="newnewnewnewnewnewnewnewnewnewnewnewnewnewnewnewnewnewnew">
    <w:name w:val="newnewnewnewnewnewnewnewnewnewnewnewnewnewnewnewnewnewnew"/>
    <w:basedOn w:val="a"/>
    <w:pPr>
      <w:spacing w:before="100" w:beforeAutospacing="1" w:after="100" w:afterAutospacing="1"/>
    </w:pPr>
  </w:style>
  <w:style w:type="paragraph" w:customStyle="1" w:styleId="newnewnewnewnewnewnewnewnewnewnewnewnewnewnewnewnewnewnewnewnewnewnewnewnewnew">
    <w:name w:val="newnewnewnewnewnewnewnewnewnewnewnewnewnewnewnewnewnewnewnewnewnewnewnewnewnew"/>
    <w:basedOn w:val="a"/>
    <w:pPr>
      <w:spacing w:before="100" w:beforeAutospacing="1" w:after="100" w:afterAutospacing="1"/>
    </w:pPr>
  </w:style>
  <w:style w:type="paragraph" w:customStyle="1" w:styleId="newnewnewnewnewnewnewnew">
    <w:name w:val="newnewnewnewnewnewnewnew"/>
    <w:basedOn w:val="a"/>
    <w:pPr>
      <w:spacing w:before="100" w:beforeAutospacing="1" w:after="100" w:afterAutospacing="1"/>
    </w:pPr>
  </w:style>
  <w:style w:type="paragraph" w:customStyle="1" w:styleId="newnewnewnewnewnewnewnewnew">
    <w:name w:val="newnewnewnewnewnewnewnewnew"/>
    <w:basedOn w:val="a"/>
    <w:pPr>
      <w:spacing w:before="100" w:beforeAutospacing="1" w:after="100" w:afterAutospacing="1"/>
    </w:pPr>
  </w:style>
  <w:style w:type="paragraph" w:customStyle="1" w:styleId="newnewnewnewnewnewnewnewnewnewnewnewnewnewnewnewnewnewnewnewnewnewnew">
    <w:name w:val="newnewnewnewnewnewnewnewnewnewnewnewnewnewnewnewnewnewnewnewnewnewnew"/>
    <w:basedOn w:val="a"/>
    <w:pPr>
      <w:spacing w:before="100" w:beforeAutospacing="1" w:after="100" w:afterAutospacing="1"/>
    </w:pPr>
  </w:style>
  <w:style w:type="paragraph" w:customStyle="1" w:styleId="newnewnewnewnewnewnewnewnewnewnewnewnewnewnewnewnewnewnewnewnewnewnewnewnewnewnewnewnewnewnew">
    <w:name w:val="newnewnewnewnewnewnewnewnewnewnewnewnewnewnewnewnewnewnewnewnewnewnewnewnewnewnewnewnewnewnew"/>
    <w:basedOn w:val="a"/>
    <w:pPr>
      <w:spacing w:before="100" w:beforeAutospacing="1" w:after="100" w:afterAutospacing="1"/>
    </w:pPr>
  </w:style>
  <w:style w:type="paragraph" w:customStyle="1" w:styleId="appendix">
    <w:name w:val="appendix"/>
    <w:basedOn w:val="a"/>
    <w:pPr>
      <w:spacing w:before="240" w:after="100" w:afterAutospacing="1"/>
    </w:pPr>
  </w:style>
  <w:style w:type="character" w:customStyle="1" w:styleId="dis-in-b">
    <w:name w:val="dis-in-b"/>
    <w:basedOn w:val="a0"/>
  </w:style>
  <w:style w:type="paragraph" w:customStyle="1" w:styleId="bot-p">
    <w:name w:val="bot-p"/>
    <w:basedOn w:val="a"/>
    <w:pPr>
      <w:spacing w:before="100" w:beforeAutospacing="1" w:after="100" w:afterAutospacing="1"/>
    </w:pPr>
  </w:style>
  <w:style w:type="paragraph" w:customStyle="1" w:styleId="f-link">
    <w:name w:val="f-link"/>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ico">
    <w:name w:val="ico"/>
    <w:basedOn w:val="a"/>
    <w:pPr>
      <w:spacing w:before="100" w:beforeAutospacing="1" w:after="100" w:afterAutospacing="1"/>
    </w:pPr>
  </w:style>
  <w:style w:type="character" w:styleId="HTML">
    <w:name w:val="HTML Cite"/>
    <w:basedOn w:val="a0"/>
    <w:uiPriority w:val="99"/>
    <w:semiHidden/>
    <w:unhideWhenUsed/>
    <w:rPr>
      <w:i/>
      <w:iCs/>
    </w:rPr>
  </w:style>
  <w:style w:type="character" w:styleId="a6">
    <w:name w:val="Emphasis"/>
    <w:basedOn w:val="a0"/>
    <w:uiPriority w:val="20"/>
    <w:qFormat/>
    <w:rPr>
      <w:i/>
      <w:iCs/>
    </w:rPr>
  </w:style>
  <w:style w:type="paragraph" w:customStyle="1" w:styleId="layui-layer-imgbar">
    <w:name w:val="layui-layer-imgbar"/>
    <w:basedOn w:val="a"/>
    <w:pPr>
      <w:spacing w:before="100" w:beforeAutospacing="1" w:after="100" w:afterAutospacing="1" w:line="384" w:lineRule="atLeast"/>
    </w:pPr>
    <w:rPr>
      <w:vanish/>
      <w:color w:val="FFFFFF"/>
      <w:sz w:val="2"/>
      <w:szCs w:val="2"/>
    </w:rPr>
  </w:style>
  <w:style w:type="paragraph" w:customStyle="1" w:styleId="layui-layer-title">
    <w:name w:val="layui-layer-title"/>
    <w:basedOn w:val="a"/>
    <w:pPr>
      <w:pBdr>
        <w:bottom w:val="single" w:sz="4" w:space="0" w:color="EEEEEE"/>
      </w:pBdr>
      <w:shd w:val="clear" w:color="auto" w:fill="F8F8F8"/>
      <w:spacing w:before="100" w:beforeAutospacing="1" w:after="100" w:afterAutospacing="1" w:line="504" w:lineRule="atLeast"/>
    </w:pPr>
    <w:rPr>
      <w:color w:val="333333"/>
      <w:sz w:val="17"/>
      <w:szCs w:val="17"/>
    </w:rPr>
  </w:style>
  <w:style w:type="paragraph" w:customStyle="1" w:styleId="layui-layer-shade">
    <w:name w:val="layui-layer-shade"/>
    <w:basedOn w:val="a"/>
    <w:pPr>
      <w:spacing w:before="100" w:beforeAutospacing="1" w:after="100" w:afterAutospacing="1"/>
    </w:pPr>
  </w:style>
  <w:style w:type="paragraph" w:customStyle="1" w:styleId="layui-layer">
    <w:name w:val="layui-layer"/>
    <w:basedOn w:val="a"/>
    <w:pPr>
      <w:shd w:val="clear" w:color="auto" w:fill="FFFFFF"/>
    </w:pPr>
  </w:style>
  <w:style w:type="paragraph" w:customStyle="1" w:styleId="layui-layer-border">
    <w:name w:val="layui-layer-border"/>
    <w:basedOn w:val="a"/>
    <w:pPr>
      <w:pBdr>
        <w:top w:val="single" w:sz="4" w:space="0" w:color="B2B2B2"/>
        <w:left w:val="single" w:sz="4" w:space="0" w:color="B2B2B2"/>
        <w:bottom w:val="single" w:sz="4" w:space="0" w:color="B2B2B2"/>
        <w:right w:val="single" w:sz="4" w:space="0" w:color="B2B2B2"/>
      </w:pBdr>
      <w:spacing w:before="100" w:beforeAutospacing="1" w:after="100" w:afterAutospacing="1"/>
    </w:pPr>
  </w:style>
  <w:style w:type="paragraph" w:customStyle="1" w:styleId="layui-layer-load">
    <w:name w:val="layui-layer-load"/>
    <w:basedOn w:val="a"/>
    <w:pPr>
      <w:shd w:val="clear" w:color="auto" w:fill="EEEEEE"/>
      <w:spacing w:before="100" w:beforeAutospacing="1" w:after="100" w:afterAutospacing="1"/>
    </w:pPr>
  </w:style>
  <w:style w:type="paragraph" w:customStyle="1" w:styleId="layui-layer-ico">
    <w:name w:val="layui-layer-ico"/>
    <w:basedOn w:val="a"/>
    <w:pPr>
      <w:spacing w:before="100" w:beforeAutospacing="1" w:after="100" w:afterAutospacing="1"/>
    </w:pPr>
  </w:style>
  <w:style w:type="paragraph" w:customStyle="1" w:styleId="layui-layer-move">
    <w:name w:val="layui-layer-move"/>
    <w:basedOn w:val="a"/>
    <w:pPr>
      <w:shd w:val="clear" w:color="auto" w:fill="FFFFFF"/>
      <w:spacing w:before="100" w:beforeAutospacing="1" w:after="100" w:afterAutospacing="1"/>
    </w:pPr>
    <w:rPr>
      <w:vanish/>
    </w:rPr>
  </w:style>
  <w:style w:type="paragraph" w:customStyle="1" w:styleId="layui-layer-resize">
    <w:name w:val="layui-layer-resize"/>
    <w:basedOn w:val="a"/>
    <w:pPr>
      <w:spacing w:before="100" w:beforeAutospacing="1" w:after="100" w:afterAutospacing="1"/>
    </w:pPr>
  </w:style>
  <w:style w:type="paragraph" w:customStyle="1" w:styleId="layui-layer-setwin">
    <w:name w:val="layui-layer-setwin"/>
    <w:basedOn w:val="a"/>
    <w:pPr>
      <w:spacing w:before="100" w:beforeAutospacing="1" w:after="100" w:afterAutospacing="1"/>
    </w:pPr>
    <w:rPr>
      <w:sz w:val="2"/>
      <w:szCs w:val="2"/>
    </w:rPr>
  </w:style>
  <w:style w:type="paragraph" w:customStyle="1" w:styleId="layui-layer-btn">
    <w:name w:val="layui-layer-btn"/>
    <w:basedOn w:val="a"/>
    <w:pPr>
      <w:spacing w:before="100" w:beforeAutospacing="1" w:after="100" w:afterAutospacing="1"/>
      <w:jc w:val="right"/>
    </w:pPr>
  </w:style>
  <w:style w:type="paragraph" w:customStyle="1" w:styleId="layui-layer-btn-l">
    <w:name w:val="layui-layer-btn-l"/>
    <w:basedOn w:val="a"/>
    <w:pPr>
      <w:spacing w:before="100" w:beforeAutospacing="1" w:after="100" w:afterAutospacing="1"/>
    </w:pPr>
  </w:style>
  <w:style w:type="paragraph" w:customStyle="1" w:styleId="layui-layer-btn-c">
    <w:name w:val="layui-layer-btn-c"/>
    <w:basedOn w:val="a"/>
    <w:pPr>
      <w:spacing w:before="100" w:beforeAutospacing="1" w:after="100" w:afterAutospacing="1"/>
      <w:jc w:val="center"/>
    </w:pPr>
  </w:style>
  <w:style w:type="paragraph" w:customStyle="1" w:styleId="layui-layer-rim">
    <w:name w:val="layui-layer-rim"/>
    <w:basedOn w:val="a"/>
    <w:pPr>
      <w:pBdr>
        <w:top w:val="single" w:sz="24" w:space="0" w:color="8D8D8D"/>
        <w:left w:val="single" w:sz="24" w:space="0" w:color="8D8D8D"/>
        <w:bottom w:val="single" w:sz="24" w:space="0" w:color="8D8D8D"/>
        <w:right w:val="single" w:sz="24" w:space="0" w:color="8D8D8D"/>
      </w:pBdr>
      <w:spacing w:before="100" w:beforeAutospacing="1" w:after="100" w:afterAutospacing="1"/>
    </w:pPr>
  </w:style>
  <w:style w:type="paragraph" w:customStyle="1" w:styleId="layui-layer-msg">
    <w:name w:val="layui-layer-msg"/>
    <w:basedOn w:val="a"/>
    <w:pPr>
      <w:pBdr>
        <w:top w:val="single" w:sz="4" w:space="0" w:color="D3D4D3"/>
        <w:left w:val="single" w:sz="4" w:space="0" w:color="D3D4D3"/>
        <w:bottom w:val="single" w:sz="4" w:space="0" w:color="D3D4D3"/>
        <w:right w:val="single" w:sz="4" w:space="0" w:color="D3D4D3"/>
      </w:pBdr>
      <w:spacing w:before="100" w:beforeAutospacing="1" w:after="100" w:afterAutospacing="1"/>
    </w:pPr>
  </w:style>
  <w:style w:type="paragraph" w:customStyle="1" w:styleId="layui-layer-hui">
    <w:name w:val="layui-layer-hui"/>
    <w:basedOn w:val="a"/>
    <w:pPr>
      <w:shd w:val="clear" w:color="auto" w:fill="000000"/>
      <w:spacing w:before="100" w:beforeAutospacing="1" w:after="100" w:afterAutospacing="1"/>
    </w:pPr>
    <w:rPr>
      <w:color w:val="FFFFFF"/>
    </w:rPr>
  </w:style>
  <w:style w:type="paragraph" w:customStyle="1" w:styleId="layui-layer-loading">
    <w:name w:val="layui-layer-loading"/>
    <w:basedOn w:val="a"/>
    <w:pPr>
      <w:spacing w:before="100" w:beforeAutospacing="1" w:after="100" w:afterAutospacing="1"/>
    </w:pPr>
  </w:style>
  <w:style w:type="paragraph" w:customStyle="1" w:styleId="layui-layer-ico16">
    <w:name w:val="layui-layer-ico16"/>
    <w:basedOn w:val="a"/>
    <w:pPr>
      <w:spacing w:before="100" w:beforeAutospacing="1" w:after="100" w:afterAutospacing="1"/>
    </w:pPr>
  </w:style>
  <w:style w:type="paragraph" w:customStyle="1" w:styleId="layui-layer-tips">
    <w:name w:val="layui-layer-tips"/>
    <w:basedOn w:val="a"/>
    <w:pPr>
      <w:spacing w:before="100" w:beforeAutospacing="1" w:after="100" w:afterAutospacing="1"/>
    </w:pPr>
  </w:style>
  <w:style w:type="paragraph" w:customStyle="1" w:styleId="layui-layer-iconext">
    <w:name w:val="layui-layer-iconext"/>
    <w:basedOn w:val="a"/>
    <w:pPr>
      <w:spacing w:before="100" w:beforeAutospacing="1" w:after="100" w:afterAutospacing="1"/>
    </w:pPr>
  </w:style>
  <w:style w:type="paragraph" w:customStyle="1" w:styleId="layui-layer-tabmain">
    <w:name w:val="layui-layer-tabmain"/>
    <w:basedOn w:val="a"/>
    <w:pPr>
      <w:spacing w:before="100" w:beforeAutospacing="1" w:after="100" w:afterAutospacing="1" w:line="288" w:lineRule="atLeast"/>
    </w:pPr>
  </w:style>
  <w:style w:type="paragraph" w:customStyle="1" w:styleId="layui-layer-imguide">
    <w:name w:val="layui-layer-imguide"/>
    <w:basedOn w:val="a"/>
    <w:pPr>
      <w:spacing w:before="100" w:beforeAutospacing="1" w:after="100" w:afterAutospacing="1"/>
    </w:pPr>
    <w:rPr>
      <w:vanish/>
    </w:rPr>
  </w:style>
  <w:style w:type="paragraph" w:customStyle="1" w:styleId="layui-layer-imgnext">
    <w:name w:val="layui-layer-imgnext"/>
    <w:basedOn w:val="a"/>
    <w:pPr>
      <w:spacing w:after="100" w:afterAutospacing="1"/>
    </w:pPr>
  </w:style>
  <w:style w:type="paragraph" w:customStyle="1" w:styleId="layui-layer-imgprev">
    <w:name w:val="layui-layer-imgprev"/>
    <w:basedOn w:val="a"/>
    <w:pPr>
      <w:spacing w:after="100" w:afterAutospacing="1"/>
    </w:pPr>
  </w:style>
  <w:style w:type="paragraph" w:customStyle="1" w:styleId="layui-layer-close2">
    <w:name w:val="layui-layer-close2"/>
    <w:basedOn w:val="a"/>
    <w:pPr>
      <w:spacing w:before="100" w:beforeAutospacing="1" w:after="100" w:afterAutospacing="1"/>
    </w:pPr>
  </w:style>
  <w:style w:type="paragraph" w:customStyle="1" w:styleId="layui-layer-btn0">
    <w:name w:val="layui-layer-btn0"/>
    <w:basedOn w:val="a"/>
    <w:pPr>
      <w:spacing w:before="100" w:beforeAutospacing="1" w:after="100" w:afterAutospacing="1"/>
    </w:pPr>
  </w:style>
  <w:style w:type="paragraph" w:customStyle="1" w:styleId="layui-layer-content">
    <w:name w:val="layui-layer-content"/>
    <w:basedOn w:val="a"/>
    <w:pPr>
      <w:spacing w:before="100" w:beforeAutospacing="1" w:after="100" w:afterAutospacing="1"/>
    </w:pPr>
  </w:style>
  <w:style w:type="paragraph" w:customStyle="1" w:styleId="layui-layer-padding">
    <w:name w:val="layui-layer-padding"/>
    <w:basedOn w:val="a"/>
    <w:pPr>
      <w:spacing w:before="100" w:beforeAutospacing="1" w:after="100" w:afterAutospacing="1"/>
    </w:pPr>
  </w:style>
  <w:style w:type="paragraph" w:customStyle="1" w:styleId="layui-layer-loading1">
    <w:name w:val="layui-layer-loading1"/>
    <w:basedOn w:val="a"/>
    <w:pPr>
      <w:spacing w:before="100" w:beforeAutospacing="1" w:after="100" w:afterAutospacing="1"/>
    </w:pPr>
  </w:style>
  <w:style w:type="paragraph" w:customStyle="1" w:styleId="layui-layer-loading2">
    <w:name w:val="layui-layer-loading2"/>
    <w:basedOn w:val="a"/>
    <w:pPr>
      <w:spacing w:before="100" w:beforeAutospacing="1" w:after="100" w:afterAutospacing="1"/>
    </w:pPr>
  </w:style>
  <w:style w:type="paragraph" w:customStyle="1" w:styleId="layui-layer-input">
    <w:name w:val="layui-layer-input"/>
    <w:basedOn w:val="a"/>
    <w:pPr>
      <w:spacing w:before="100" w:beforeAutospacing="1" w:after="100" w:afterAutospacing="1"/>
    </w:pPr>
  </w:style>
  <w:style w:type="paragraph" w:customStyle="1" w:styleId="layui-layer-tabli">
    <w:name w:val="layui-layer-tabli"/>
    <w:basedOn w:val="a"/>
    <w:pPr>
      <w:spacing w:before="100" w:beforeAutospacing="1" w:after="100" w:afterAutospacing="1"/>
    </w:pPr>
  </w:style>
  <w:style w:type="paragraph" w:customStyle="1" w:styleId="layui-layer-btn1">
    <w:name w:val="layui-layer-btn1"/>
    <w:basedOn w:val="a"/>
    <w:pPr>
      <w:spacing w:before="100" w:beforeAutospacing="1" w:after="100" w:afterAutospacing="1"/>
    </w:pPr>
  </w:style>
  <w:style w:type="character" w:customStyle="1" w:styleId="layui-layer-tabnow">
    <w:name w:val="layui-layer-tabnow"/>
    <w:basedOn w:val="a0"/>
  </w:style>
  <w:style w:type="paragraph" w:customStyle="1" w:styleId="layui-layer-ico1">
    <w:name w:val="layui-layer-ico1"/>
    <w:basedOn w:val="a"/>
    <w:pPr>
      <w:spacing w:before="100" w:beforeAutospacing="1" w:after="100" w:afterAutospacing="1"/>
      <w:textAlignment w:val="top"/>
    </w:pPr>
  </w:style>
  <w:style w:type="paragraph" w:customStyle="1" w:styleId="layui-layer-close21">
    <w:name w:val="layui-layer-close21"/>
    <w:basedOn w:val="a"/>
    <w:pPr>
      <w:spacing w:before="100" w:beforeAutospacing="1" w:after="100" w:afterAutospacing="1"/>
    </w:pPr>
  </w:style>
  <w:style w:type="paragraph" w:customStyle="1" w:styleId="layui-layer-btn01">
    <w:name w:val="layui-layer-btn01"/>
    <w:basedOn w:val="a"/>
    <w:pPr>
      <w:shd w:val="clear" w:color="auto" w:fill="2E8DED"/>
      <w:spacing w:before="100" w:beforeAutospacing="1" w:after="100" w:afterAutospacing="1"/>
    </w:pPr>
    <w:rPr>
      <w:color w:val="FFFFFF"/>
    </w:rPr>
  </w:style>
  <w:style w:type="paragraph" w:customStyle="1" w:styleId="layui-layer-content1">
    <w:name w:val="layui-layer-content1"/>
    <w:basedOn w:val="a"/>
    <w:pPr>
      <w:wordWrap w:val="0"/>
      <w:spacing w:before="100" w:beforeAutospacing="1" w:after="100" w:afterAutospacing="1" w:line="288" w:lineRule="atLeast"/>
    </w:pPr>
    <w:rPr>
      <w:sz w:val="17"/>
      <w:szCs w:val="17"/>
    </w:rPr>
  </w:style>
  <w:style w:type="paragraph" w:customStyle="1" w:styleId="layui-layer-ico2">
    <w:name w:val="layui-layer-ico2"/>
    <w:basedOn w:val="a"/>
    <w:pPr>
      <w:spacing w:before="100" w:beforeAutospacing="1" w:after="100" w:afterAutospacing="1"/>
      <w:textAlignment w:val="top"/>
    </w:pPr>
  </w:style>
  <w:style w:type="paragraph" w:customStyle="1" w:styleId="layui-layer-content2">
    <w:name w:val="layui-layer-content2"/>
    <w:basedOn w:val="a"/>
    <w:pPr>
      <w:spacing w:before="100" w:beforeAutospacing="1" w:after="100" w:afterAutospacing="1"/>
      <w:jc w:val="center"/>
    </w:pPr>
  </w:style>
  <w:style w:type="paragraph" w:customStyle="1" w:styleId="layui-layer-padding1">
    <w:name w:val="layui-layer-padding1"/>
    <w:basedOn w:val="a"/>
    <w:pPr>
      <w:spacing w:before="100" w:beforeAutospacing="1" w:after="100" w:afterAutospacing="1"/>
    </w:pPr>
  </w:style>
  <w:style w:type="paragraph" w:customStyle="1" w:styleId="layui-layer-btn2">
    <w:name w:val="layui-layer-btn2"/>
    <w:basedOn w:val="a"/>
    <w:pPr>
      <w:spacing w:before="100" w:beforeAutospacing="1" w:after="100" w:afterAutospacing="1"/>
      <w:jc w:val="right"/>
    </w:pPr>
  </w:style>
  <w:style w:type="paragraph" w:customStyle="1" w:styleId="layui-layer-btn3">
    <w:name w:val="layui-layer-btn3"/>
    <w:basedOn w:val="a"/>
    <w:pPr>
      <w:spacing w:before="100" w:beforeAutospacing="1" w:after="100" w:afterAutospacing="1"/>
      <w:jc w:val="right"/>
    </w:pPr>
  </w:style>
  <w:style w:type="paragraph" w:customStyle="1" w:styleId="layui-layer-content3">
    <w:name w:val="layui-layer-content3"/>
    <w:basedOn w:val="a"/>
    <w:pPr>
      <w:spacing w:before="100" w:beforeAutospacing="1" w:after="100" w:afterAutospacing="1"/>
    </w:pPr>
  </w:style>
  <w:style w:type="paragraph" w:customStyle="1" w:styleId="layui-layer-loading11">
    <w:name w:val="layui-layer-loading11"/>
    <w:basedOn w:val="a"/>
    <w:pPr>
      <w:spacing w:before="100" w:beforeAutospacing="1" w:after="100" w:afterAutospacing="1"/>
    </w:pPr>
  </w:style>
  <w:style w:type="paragraph" w:customStyle="1" w:styleId="layui-layer-loading21">
    <w:name w:val="layui-layer-loading21"/>
    <w:basedOn w:val="a"/>
    <w:pPr>
      <w:spacing w:before="100" w:beforeAutospacing="1" w:after="100" w:afterAutospacing="1"/>
    </w:pPr>
  </w:style>
  <w:style w:type="paragraph" w:customStyle="1" w:styleId="layui-layer-content4">
    <w:name w:val="layui-layer-content4"/>
    <w:basedOn w:val="a"/>
    <w:pPr>
      <w:shd w:val="clear" w:color="auto" w:fill="000000"/>
      <w:spacing w:before="100" w:beforeAutospacing="1" w:after="100" w:afterAutospacing="1" w:line="264" w:lineRule="atLeast"/>
    </w:pPr>
    <w:rPr>
      <w:color w:val="FFFFFF"/>
      <w:sz w:val="14"/>
      <w:szCs w:val="14"/>
    </w:rPr>
  </w:style>
  <w:style w:type="paragraph" w:customStyle="1" w:styleId="layui-layer-title1">
    <w:name w:val="layui-layer-title1"/>
    <w:basedOn w:val="a"/>
    <w:pPr>
      <w:shd w:val="clear" w:color="auto" w:fill="4476A7"/>
      <w:spacing w:before="100" w:beforeAutospacing="1" w:after="100" w:afterAutospacing="1" w:line="504" w:lineRule="atLeast"/>
    </w:pPr>
    <w:rPr>
      <w:color w:val="FFFFFF"/>
      <w:sz w:val="17"/>
      <w:szCs w:val="17"/>
    </w:rPr>
  </w:style>
  <w:style w:type="paragraph" w:customStyle="1" w:styleId="layui-layer-btn4">
    <w:name w:val="layui-layer-btn4"/>
    <w:basedOn w:val="a"/>
    <w:pPr>
      <w:pBdr>
        <w:top w:val="single" w:sz="4" w:space="3" w:color="E9E7E7"/>
      </w:pBdr>
      <w:spacing w:before="100" w:beforeAutospacing="1" w:after="100" w:afterAutospacing="1"/>
      <w:jc w:val="right"/>
    </w:pPr>
  </w:style>
  <w:style w:type="paragraph" w:customStyle="1" w:styleId="layui-layer-btn11">
    <w:name w:val="layui-layer-btn11"/>
    <w:basedOn w:val="a"/>
    <w:pPr>
      <w:shd w:val="clear" w:color="auto" w:fill="C9C5C5"/>
      <w:spacing w:before="100" w:beforeAutospacing="1" w:after="100" w:afterAutospacing="1"/>
    </w:pPr>
  </w:style>
  <w:style w:type="paragraph" w:customStyle="1" w:styleId="layui-layer-title2">
    <w:name w:val="layui-layer-title2"/>
    <w:basedOn w:val="a"/>
    <w:pPr>
      <w:shd w:val="clear" w:color="auto" w:fill="009F95"/>
      <w:spacing w:before="100" w:beforeAutospacing="1" w:after="100" w:afterAutospacing="1" w:line="504" w:lineRule="atLeast"/>
    </w:pPr>
    <w:rPr>
      <w:color w:val="FFFFFF"/>
      <w:sz w:val="17"/>
      <w:szCs w:val="17"/>
    </w:rPr>
  </w:style>
  <w:style w:type="paragraph" w:customStyle="1" w:styleId="layui-layer-btn12">
    <w:name w:val="layui-layer-btn12"/>
    <w:basedOn w:val="a"/>
    <w:pPr>
      <w:shd w:val="clear" w:color="auto" w:fill="92B8B1"/>
      <w:spacing w:before="100" w:beforeAutospacing="1" w:after="100" w:afterAutospacing="1"/>
    </w:pPr>
  </w:style>
  <w:style w:type="paragraph" w:customStyle="1" w:styleId="layui-layer-input1">
    <w:name w:val="layui-layer-input1"/>
    <w:basedOn w:val="a"/>
    <w:pPr>
      <w:pBdr>
        <w:top w:val="single" w:sz="4" w:space="0" w:color="CCCCCC"/>
        <w:left w:val="single" w:sz="4" w:space="3" w:color="CCCCCC"/>
        <w:bottom w:val="single" w:sz="4" w:space="0" w:color="CCCCCC"/>
        <w:right w:val="single" w:sz="4" w:space="3" w:color="CCCCCC"/>
      </w:pBdr>
      <w:spacing w:line="360" w:lineRule="atLeast"/>
    </w:pPr>
    <w:rPr>
      <w:color w:val="333333"/>
    </w:rPr>
  </w:style>
  <w:style w:type="paragraph" w:customStyle="1" w:styleId="layui-layer-content5">
    <w:name w:val="layui-layer-content5"/>
    <w:basedOn w:val="a"/>
    <w:pPr>
      <w:spacing w:before="100" w:beforeAutospacing="1" w:after="100" w:afterAutospacing="1"/>
    </w:pPr>
  </w:style>
  <w:style w:type="paragraph" w:customStyle="1" w:styleId="layui-layer-btn5">
    <w:name w:val="layui-layer-btn5"/>
    <w:basedOn w:val="a"/>
    <w:pPr>
      <w:spacing w:before="100" w:beforeAutospacing="1" w:after="100" w:afterAutospacing="1"/>
      <w:jc w:val="right"/>
    </w:pPr>
  </w:style>
  <w:style w:type="paragraph" w:customStyle="1" w:styleId="layui-layer-title3">
    <w:name w:val="layui-layer-title3"/>
    <w:basedOn w:val="a"/>
    <w:pPr>
      <w:pBdr>
        <w:bottom w:val="single" w:sz="4" w:space="0" w:color="CCCCCC"/>
      </w:pBdr>
      <w:shd w:val="clear" w:color="auto" w:fill="EEEEEE"/>
      <w:spacing w:before="100" w:beforeAutospacing="1" w:after="100" w:afterAutospacing="1" w:line="504" w:lineRule="atLeast"/>
    </w:pPr>
    <w:rPr>
      <w:color w:val="333333"/>
      <w:sz w:val="17"/>
      <w:szCs w:val="17"/>
    </w:rPr>
  </w:style>
  <w:style w:type="character" w:customStyle="1" w:styleId="layui-layer-tabnow1">
    <w:name w:val="layui-layer-tabnow1"/>
    <w:basedOn w:val="a0"/>
    <w:rPr>
      <w:shd w:val="clear" w:color="auto" w:fill="FFFFFF"/>
    </w:rPr>
  </w:style>
  <w:style w:type="paragraph" w:customStyle="1" w:styleId="layui-layer-tabli1">
    <w:name w:val="layui-layer-tabli1"/>
    <w:basedOn w:val="a"/>
    <w:pPr>
      <w:spacing w:before="100" w:beforeAutospacing="1" w:after="100" w:afterAutospacing="1"/>
    </w:pPr>
    <w:rPr>
      <w:vanish/>
    </w:rPr>
  </w:style>
  <w:style w:type="paragraph" w:customStyle="1" w:styleId="layui-layer-content6">
    <w:name w:val="layui-layer-content6"/>
    <w:basedOn w:val="a"/>
    <w:pPr>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divs>
    <w:div w:id="359547664">
      <w:marLeft w:val="0"/>
      <w:marRight w:val="0"/>
      <w:marTop w:val="0"/>
      <w:marBottom w:val="0"/>
      <w:divBdr>
        <w:top w:val="none" w:sz="0" w:space="0" w:color="auto"/>
        <w:left w:val="none" w:sz="0" w:space="0" w:color="auto"/>
        <w:bottom w:val="none" w:sz="0" w:space="0" w:color="auto"/>
        <w:right w:val="none" w:sz="0" w:space="0" w:color="auto"/>
      </w:divBdr>
      <w:divsChild>
        <w:div w:id="77363397">
          <w:marLeft w:val="0"/>
          <w:marRight w:val="0"/>
          <w:marTop w:val="0"/>
          <w:marBottom w:val="0"/>
          <w:divBdr>
            <w:top w:val="none" w:sz="0" w:space="0" w:color="auto"/>
            <w:left w:val="none" w:sz="0" w:space="0" w:color="auto"/>
            <w:bottom w:val="none" w:sz="0" w:space="0" w:color="auto"/>
            <w:right w:val="none" w:sz="0" w:space="0" w:color="auto"/>
          </w:divBdr>
          <w:divsChild>
            <w:div w:id="522472714">
              <w:marLeft w:val="0"/>
              <w:marRight w:val="0"/>
              <w:marTop w:val="0"/>
              <w:marBottom w:val="0"/>
              <w:divBdr>
                <w:top w:val="none" w:sz="0" w:space="0" w:color="auto"/>
                <w:left w:val="none" w:sz="0" w:space="0" w:color="auto"/>
                <w:bottom w:val="none" w:sz="0" w:space="0" w:color="auto"/>
                <w:right w:val="none" w:sz="0" w:space="0" w:color="auto"/>
              </w:divBdr>
              <w:divsChild>
                <w:div w:id="17705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9194">
          <w:marLeft w:val="0"/>
          <w:marRight w:val="0"/>
          <w:marTop w:val="0"/>
          <w:marBottom w:val="0"/>
          <w:divBdr>
            <w:top w:val="none" w:sz="0" w:space="0" w:color="auto"/>
            <w:left w:val="none" w:sz="0" w:space="0" w:color="auto"/>
            <w:bottom w:val="none" w:sz="0" w:space="0" w:color="auto"/>
            <w:right w:val="none" w:sz="0" w:space="0" w:color="auto"/>
          </w:divBdr>
        </w:div>
        <w:div w:id="268440056">
          <w:marLeft w:val="0"/>
          <w:marRight w:val="0"/>
          <w:marTop w:val="0"/>
          <w:marBottom w:val="0"/>
          <w:divBdr>
            <w:top w:val="none" w:sz="0" w:space="0" w:color="auto"/>
            <w:left w:val="none" w:sz="0" w:space="0" w:color="auto"/>
            <w:bottom w:val="none" w:sz="0" w:space="0" w:color="auto"/>
            <w:right w:val="none" w:sz="0" w:space="0" w:color="auto"/>
          </w:divBdr>
          <w:divsChild>
            <w:div w:id="551380356">
              <w:marLeft w:val="0"/>
              <w:marRight w:val="0"/>
              <w:marTop w:val="0"/>
              <w:marBottom w:val="0"/>
              <w:divBdr>
                <w:top w:val="none" w:sz="0" w:space="0" w:color="auto"/>
                <w:left w:val="none" w:sz="0" w:space="0" w:color="auto"/>
                <w:bottom w:val="none" w:sz="0" w:space="0" w:color="auto"/>
                <w:right w:val="none" w:sz="0" w:space="0" w:color="auto"/>
              </w:divBdr>
              <w:divsChild>
                <w:div w:id="1662075384">
                  <w:marLeft w:val="0"/>
                  <w:marRight w:val="0"/>
                  <w:marTop w:val="0"/>
                  <w:marBottom w:val="0"/>
                  <w:divBdr>
                    <w:top w:val="none" w:sz="0" w:space="0" w:color="auto"/>
                    <w:left w:val="none" w:sz="0" w:space="0" w:color="auto"/>
                    <w:bottom w:val="none" w:sz="0" w:space="0" w:color="auto"/>
                    <w:right w:val="none" w:sz="0" w:space="0" w:color="auto"/>
                  </w:divBdr>
                </w:div>
                <w:div w:id="18314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99311">
          <w:marLeft w:val="0"/>
          <w:marRight w:val="0"/>
          <w:marTop w:val="0"/>
          <w:marBottom w:val="0"/>
          <w:divBdr>
            <w:top w:val="none" w:sz="0" w:space="0" w:color="auto"/>
            <w:left w:val="none" w:sz="0" w:space="0" w:color="auto"/>
            <w:bottom w:val="none" w:sz="0" w:space="0" w:color="auto"/>
            <w:right w:val="none" w:sz="0" w:space="0" w:color="auto"/>
          </w:divBdr>
          <w:divsChild>
            <w:div w:id="1919554323">
              <w:marLeft w:val="0"/>
              <w:marRight w:val="0"/>
              <w:marTop w:val="0"/>
              <w:marBottom w:val="0"/>
              <w:divBdr>
                <w:top w:val="none" w:sz="0" w:space="0" w:color="auto"/>
                <w:left w:val="none" w:sz="0" w:space="0" w:color="auto"/>
                <w:bottom w:val="none" w:sz="0" w:space="0" w:color="auto"/>
                <w:right w:val="none" w:sz="0" w:space="0" w:color="auto"/>
              </w:divBdr>
            </w:div>
            <w:div w:id="1115826911">
              <w:marLeft w:val="0"/>
              <w:marRight w:val="0"/>
              <w:marTop w:val="0"/>
              <w:marBottom w:val="0"/>
              <w:divBdr>
                <w:top w:val="none" w:sz="0" w:space="0" w:color="auto"/>
                <w:left w:val="none" w:sz="0" w:space="0" w:color="auto"/>
                <w:bottom w:val="none" w:sz="0" w:space="0" w:color="auto"/>
                <w:right w:val="none" w:sz="0" w:space="0" w:color="auto"/>
              </w:divBdr>
              <w:divsChild>
                <w:div w:id="426655216">
                  <w:marLeft w:val="0"/>
                  <w:marRight w:val="0"/>
                  <w:marTop w:val="0"/>
                  <w:marBottom w:val="0"/>
                  <w:divBdr>
                    <w:top w:val="none" w:sz="0" w:space="0" w:color="auto"/>
                    <w:left w:val="none" w:sz="0" w:space="0" w:color="auto"/>
                    <w:bottom w:val="none" w:sz="0" w:space="0" w:color="auto"/>
                    <w:right w:val="none" w:sz="0" w:space="0" w:color="auto"/>
                  </w:divBdr>
                  <w:divsChild>
                    <w:div w:id="1422918281">
                      <w:marLeft w:val="0"/>
                      <w:marRight w:val="0"/>
                      <w:marTop w:val="0"/>
                      <w:marBottom w:val="0"/>
                      <w:divBdr>
                        <w:top w:val="none" w:sz="0" w:space="0" w:color="auto"/>
                        <w:left w:val="none" w:sz="0" w:space="0" w:color="auto"/>
                        <w:bottom w:val="none" w:sz="0" w:space="0" w:color="auto"/>
                        <w:right w:val="none" w:sz="0" w:space="0" w:color="auto"/>
                      </w:divBdr>
                      <w:divsChild>
                        <w:div w:id="1082793922">
                          <w:marLeft w:val="0"/>
                          <w:marRight w:val="0"/>
                          <w:marTop w:val="0"/>
                          <w:marBottom w:val="0"/>
                          <w:divBdr>
                            <w:top w:val="none" w:sz="0" w:space="0" w:color="auto"/>
                            <w:left w:val="none" w:sz="0" w:space="0" w:color="auto"/>
                            <w:bottom w:val="none" w:sz="0" w:space="0" w:color="auto"/>
                            <w:right w:val="none" w:sz="0" w:space="0" w:color="auto"/>
                          </w:divBdr>
                        </w:div>
                      </w:divsChild>
                    </w:div>
                    <w:div w:id="1646662541">
                      <w:marLeft w:val="0"/>
                      <w:marRight w:val="0"/>
                      <w:marTop w:val="0"/>
                      <w:marBottom w:val="0"/>
                      <w:divBdr>
                        <w:top w:val="none" w:sz="0" w:space="0" w:color="auto"/>
                        <w:left w:val="none" w:sz="0" w:space="0" w:color="auto"/>
                        <w:bottom w:val="none" w:sz="0" w:space="0" w:color="auto"/>
                        <w:right w:val="none" w:sz="0" w:space="0" w:color="auto"/>
                      </w:divBdr>
                      <w:divsChild>
                        <w:div w:id="6456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5685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fontZoom(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fontZoom(18)" TargetMode="External"/><Relationship Id="rId5" Type="http://schemas.openxmlformats.org/officeDocument/2006/relationships/hyperlink" Target="javascript:fontZoom(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6150</Words>
  <Characters>453</Characters>
  <Application>Microsoft Office Word</Application>
  <DocSecurity>0</DocSecurity>
  <Lines>3</Lines>
  <Paragraphs>13</Paragraphs>
  <ScaleCrop>false</ScaleCrop>
  <Company>CHINA</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韶关市人民政府-韶关市人民政府关于印发韶关市降低制造业企业成本支持实体经济发展若干政策措施的通知(韶府〔2017〕42号)</dc:title>
  <dc:subject/>
  <dc:creator>linfan</dc:creator>
  <cp:keywords/>
  <dc:description/>
  <cp:lastModifiedBy>linfan</cp:lastModifiedBy>
  <cp:revision>2</cp:revision>
  <dcterms:created xsi:type="dcterms:W3CDTF">2018-05-07T14:46:00Z</dcterms:created>
  <dcterms:modified xsi:type="dcterms:W3CDTF">2018-05-07T14:46:00Z</dcterms:modified>
</cp:coreProperties>
</file>