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6F5" w:rsidRPr="007D36F5" w:rsidRDefault="007D36F5" w:rsidP="007D36F5">
      <w:pPr>
        <w:widowControl/>
        <w:shd w:val="clear" w:color="auto" w:fill="FFFFFF"/>
        <w:jc w:val="center"/>
        <w:rPr>
          <w:rFonts w:ascii="仿宋" w:eastAsia="仿宋" w:hAnsi="仿宋" w:cs="宋体"/>
          <w:color w:val="3D3D3D"/>
          <w:kern w:val="0"/>
          <w:sz w:val="32"/>
          <w:szCs w:val="32"/>
        </w:rPr>
      </w:pPr>
      <w:r w:rsidRPr="007D36F5">
        <w:rPr>
          <w:rFonts w:ascii="仿宋" w:eastAsia="仿宋" w:hAnsi="仿宋" w:cs="宋体" w:hint="eastAsia"/>
          <w:b/>
          <w:bCs/>
          <w:color w:val="3D3D3D"/>
          <w:kern w:val="0"/>
          <w:sz w:val="32"/>
          <w:szCs w:val="32"/>
        </w:rPr>
        <w:t>山东省外经贸发展专项资金管理办法</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第一条 为加强外经贸发展专项资金管理，健全和完善我省外经贸发展促进机制，提高财政资金使用效益，根据《山东省省级预算管理暂行办法》等有关规定，制定本办法。</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第二条 本办法所称山东省外经贸发展专项资金，是指省级财政预算安排，用于促进货物贸易、服务贸易、利用外资、对外经济技术合作等外经贸事业健康发展的专项资金。</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第三条 外经贸发展专项资金由省财政厅负责管理。</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外经贸发展专项资金扶持实行项目库动态管理。根据每年专项资金规模和外经贸事业发展需要，省财政厅会同省商务厅研究确定外经贸发展专项资金扶持方向和具体内容，组织项目申报，审核确定扶持项目和金额，并对专项资金的使用情况进行监督检查和绩效评价。</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第四条 外经贸发展专项资金的使用应当符合世界贸易组织（WTO）的规则，有利于加快外贸发展方式转变和结构</w:t>
      </w:r>
      <w:r w:rsidRPr="007D36F5">
        <w:rPr>
          <w:rFonts w:ascii="仿宋" w:eastAsia="仿宋" w:hAnsi="仿宋" w:cs="宋体" w:hint="eastAsia"/>
          <w:color w:val="3D3D3D"/>
          <w:kern w:val="0"/>
          <w:sz w:val="32"/>
          <w:szCs w:val="32"/>
        </w:rPr>
        <w:lastRenderedPageBreak/>
        <w:t>调整，促进对外投资和合作，提升利用外资水平，实现外经贸事业健康平稳发展。</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第五条 外经贸发展专项资金主要用于：</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（一）支持优化贸易结构和转变外贸发展方式，鼓励服务贸易加快发展；鼓励出口企业进行新技术、新产品开发和技术改造，提高出口商品的国际竞争力；</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（二）支持国际市场开拓活动，鼓励企业在巩固传统市场的同时，积极拓展新兴市场，积极培育我省在境外的自有品牌展会；</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三）支持优势产业扩大出口，鼓励出口企业集群式发展，支持出口农产品质量安全示范区、外贸转型升级、科技兴贸、机电等专业性和区域性出口基地建设，提升区域和产业发展能力，鼓励企业充分运用出口信用保险政策工具，规避出口风险；</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（四）支持提高利用外资质量和水平，鼓励引进符合国家和我省产业政策的重大利用外资项目；</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（五）支持对外经济技术合作，引导企业积极稳妥“走出去”，鼓励境外投资、对外承包工程和外派劳务健康发展，推动境外经贸合作区（园区）的建设；</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（六）鼓励先进技术、重要设备和资源性产品的进口，促进贸易平衡；</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lastRenderedPageBreak/>
        <w:t>（七）支持开发区转型升级率先突破，引导开发区加强基础设施建设，鼓励开发区引进重大战略性投资项目，增强开发区对外开放载体功能；</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（八）支持企业积极应对贸易磨擦、支持公共服务平台建设及商务系统人才培训等；</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（九）其他有利于促进外经贸事业发展的事项。</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第六条 资金的申请、审核与拨付</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符合外经贸发展专项资金扶持范围的项目，应根据项目申报通知的具体规定提出资金申请。省级企业（单位）可直接向省财政厅、省商务厅提出申请，并报送相关书面申请资料；市及以下企业向各市或各省财政直接管理县（市）（以下简称省直管县）财政局、商务局提出申请，并报送相关书面申请资料，由各市或省直管县财政局、商务局进行初审后报送省财政厅、省商务厅。</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省财政厅会同省商务厅对企业上报的相关资料进行审核确定，并由省财政厅按预算级次将资金拨付相关省级企业和各市财政部门。</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第七条 监督管理 获得外经贸发展专项资金扶持的企业应按规定做好相应财务处理，及时向省财政厅报送项目执行情况和资金使用效益的书面报告，并自觉接受有关部门的监督、检查。</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lastRenderedPageBreak/>
        <w:t>第八条 根据实际工作需要，资金管理部门可从外经贸发展专项资金中，按照不超过3%的比例提取工作经费，用于支付相关项目评审、论证、公示、验收、审计等费用，工作经费的使用要做到节俭规范。</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第九条 对截留、挪用、骗取、挤占外经贸发展专项资金或有其他违规违纪行为的，按《财政违法行为处罚处分条例》相关规定进行处理。</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第十条 本办法由省财政厅负责解释。</w:t>
      </w:r>
    </w:p>
    <w:p w:rsidR="007D36F5" w:rsidRPr="007D36F5" w:rsidRDefault="007D36F5" w:rsidP="007D36F5">
      <w:pPr>
        <w:widowControl/>
        <w:shd w:val="clear" w:color="auto" w:fill="FFFFFF"/>
        <w:ind w:firstLine="720"/>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第十一条 本办法自发布之日起施行，原《山东省对外经济贸易发展基金管理办法》（鲁财企〔2004〕45号）同时废止。</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Calibri" w:eastAsia="仿宋" w:hAnsi="Calibri" w:cs="Calibri"/>
          <w:color w:val="3D3D3D"/>
          <w:kern w:val="0"/>
          <w:sz w:val="32"/>
          <w:szCs w:val="32"/>
        </w:rPr>
        <w:t> </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主题词：外经贸 资金 办法 通知</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lastRenderedPageBreak/>
        <w:t>信息公开选项:</w:t>
      </w:r>
      <w:r w:rsidRPr="007D36F5">
        <w:rPr>
          <w:rFonts w:ascii="Calibri" w:eastAsia="仿宋" w:hAnsi="Calibri" w:cs="Calibri"/>
          <w:color w:val="3D3D3D"/>
          <w:kern w:val="0"/>
          <w:sz w:val="32"/>
          <w:szCs w:val="32"/>
        </w:rPr>
        <w:t> </w:t>
      </w:r>
      <w:r w:rsidRPr="007D36F5">
        <w:rPr>
          <w:rFonts w:ascii="仿宋" w:eastAsia="仿宋" w:hAnsi="仿宋" w:cs="宋体" w:hint="eastAsia"/>
          <w:color w:val="3D3D3D"/>
          <w:kern w:val="0"/>
          <w:sz w:val="32"/>
          <w:szCs w:val="32"/>
        </w:rPr>
        <w:t>依申请公开。</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抄送：山东省商务厅。</w:t>
      </w:r>
    </w:p>
    <w:p w:rsidR="007D36F5" w:rsidRPr="007D36F5" w:rsidRDefault="007D36F5" w:rsidP="007D36F5">
      <w:pPr>
        <w:widowControl/>
        <w:shd w:val="clear" w:color="auto" w:fill="FFFFFF"/>
        <w:jc w:val="left"/>
        <w:rPr>
          <w:rFonts w:ascii="仿宋" w:eastAsia="仿宋" w:hAnsi="仿宋" w:cs="宋体" w:hint="eastAsia"/>
          <w:color w:val="3D3D3D"/>
          <w:kern w:val="0"/>
          <w:sz w:val="32"/>
          <w:szCs w:val="32"/>
        </w:rPr>
      </w:pPr>
      <w:r w:rsidRPr="007D36F5">
        <w:rPr>
          <w:rFonts w:ascii="仿宋" w:eastAsia="仿宋" w:hAnsi="仿宋" w:cs="宋体" w:hint="eastAsia"/>
          <w:color w:val="3D3D3D"/>
          <w:kern w:val="0"/>
          <w:sz w:val="32"/>
          <w:szCs w:val="32"/>
        </w:rPr>
        <w:t>山东省财政厅办公室</w:t>
      </w:r>
      <w:r w:rsidRPr="007D36F5">
        <w:rPr>
          <w:rFonts w:ascii="Calibri" w:eastAsia="仿宋" w:hAnsi="Calibri" w:cs="Calibri"/>
          <w:color w:val="3D3D3D"/>
          <w:kern w:val="0"/>
          <w:sz w:val="32"/>
          <w:szCs w:val="32"/>
        </w:rPr>
        <w:t> </w:t>
      </w:r>
      <w:r w:rsidRPr="007D36F5">
        <w:rPr>
          <w:rFonts w:ascii="仿宋" w:eastAsia="仿宋" w:hAnsi="仿宋" w:cs="宋体" w:hint="eastAsia"/>
          <w:color w:val="3D3D3D"/>
          <w:kern w:val="0"/>
          <w:sz w:val="32"/>
          <w:szCs w:val="32"/>
        </w:rPr>
        <w:t>2012年3月29日印发</w:t>
      </w:r>
    </w:p>
    <w:p w:rsidR="008C2FC8" w:rsidRPr="007D36F5" w:rsidRDefault="008C2FC8">
      <w:bookmarkStart w:id="0" w:name="_GoBack"/>
      <w:bookmarkEnd w:id="0"/>
    </w:p>
    <w:sectPr w:rsidR="008C2FC8" w:rsidRPr="007D36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6EA" w:rsidRDefault="005366EA" w:rsidP="007D36F5">
      <w:r>
        <w:separator/>
      </w:r>
    </w:p>
  </w:endnote>
  <w:endnote w:type="continuationSeparator" w:id="0">
    <w:p w:rsidR="005366EA" w:rsidRDefault="005366EA" w:rsidP="007D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6EA" w:rsidRDefault="005366EA" w:rsidP="007D36F5">
      <w:r>
        <w:separator/>
      </w:r>
    </w:p>
  </w:footnote>
  <w:footnote w:type="continuationSeparator" w:id="0">
    <w:p w:rsidR="005366EA" w:rsidRDefault="005366EA" w:rsidP="007D36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D6"/>
    <w:rsid w:val="005366EA"/>
    <w:rsid w:val="007D36F5"/>
    <w:rsid w:val="008C2FC8"/>
    <w:rsid w:val="00E75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041D19-64AE-4A9E-AFEC-196D6DC6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36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D36F5"/>
    <w:rPr>
      <w:sz w:val="18"/>
      <w:szCs w:val="18"/>
    </w:rPr>
  </w:style>
  <w:style w:type="paragraph" w:styleId="a4">
    <w:name w:val="footer"/>
    <w:basedOn w:val="a"/>
    <w:link w:val="Char0"/>
    <w:uiPriority w:val="99"/>
    <w:unhideWhenUsed/>
    <w:rsid w:val="007D36F5"/>
    <w:pPr>
      <w:tabs>
        <w:tab w:val="center" w:pos="4153"/>
        <w:tab w:val="right" w:pos="8306"/>
      </w:tabs>
      <w:snapToGrid w:val="0"/>
      <w:jc w:val="left"/>
    </w:pPr>
    <w:rPr>
      <w:sz w:val="18"/>
      <w:szCs w:val="18"/>
    </w:rPr>
  </w:style>
  <w:style w:type="character" w:customStyle="1" w:styleId="Char0">
    <w:name w:val="页脚 Char"/>
    <w:basedOn w:val="a0"/>
    <w:link w:val="a4"/>
    <w:uiPriority w:val="99"/>
    <w:rsid w:val="007D36F5"/>
    <w:rPr>
      <w:sz w:val="18"/>
      <w:szCs w:val="18"/>
    </w:rPr>
  </w:style>
  <w:style w:type="paragraph" w:styleId="a5">
    <w:name w:val="Plain Text"/>
    <w:basedOn w:val="a"/>
    <w:link w:val="Char1"/>
    <w:uiPriority w:val="99"/>
    <w:semiHidden/>
    <w:unhideWhenUsed/>
    <w:rsid w:val="007D36F5"/>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5"/>
    <w:uiPriority w:val="99"/>
    <w:semiHidden/>
    <w:rsid w:val="007D36F5"/>
    <w:rPr>
      <w:rFonts w:ascii="宋体" w:eastAsia="宋体" w:hAnsi="宋体" w:cs="宋体"/>
      <w:kern w:val="0"/>
      <w:sz w:val="24"/>
      <w:szCs w:val="24"/>
    </w:rPr>
  </w:style>
  <w:style w:type="character" w:styleId="a6">
    <w:name w:val="Strong"/>
    <w:basedOn w:val="a0"/>
    <w:uiPriority w:val="22"/>
    <w:qFormat/>
    <w:rsid w:val="007D3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50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Words>
  <Characters>1336</Characters>
  <Application>Microsoft Office Word</Application>
  <DocSecurity>0</DocSecurity>
  <Lines>11</Lines>
  <Paragraphs>3</Paragraphs>
  <ScaleCrop>false</ScaleCrop>
  <Company>微软中国</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2019-03-06T06:56:00Z</dcterms:created>
  <dcterms:modified xsi:type="dcterms:W3CDTF">2019-03-06T06:56:00Z</dcterms:modified>
</cp:coreProperties>
</file>