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3D" w:rsidRPr="0069363D" w:rsidRDefault="0069363D" w:rsidP="0069363D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69363D">
        <w:rPr>
          <w:rFonts w:ascii="Arial" w:eastAsia="宋体" w:hAnsi="Arial" w:cs="Arial"/>
          <w:color w:val="033266"/>
          <w:kern w:val="36"/>
          <w:sz w:val="36"/>
          <w:szCs w:val="36"/>
        </w:rPr>
        <w:t>单县招商引资优惠政策</w:t>
      </w:r>
    </w:p>
    <w:bookmarkEnd w:id="0"/>
    <w:p w:rsidR="0069363D" w:rsidRPr="0069363D" w:rsidRDefault="0069363D" w:rsidP="0069363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proofErr w:type="gramStart"/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宋恩宝</w:t>
      </w:r>
      <w:proofErr w:type="gramEnd"/>
    </w:p>
    <w:p w:rsidR="0069363D" w:rsidRPr="0069363D" w:rsidRDefault="0069363D" w:rsidP="0069363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69363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3D" w:rsidRPr="0069363D" w:rsidRDefault="0069363D" w:rsidP="0069363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2011/09/21/ 15:49</w:t>
      </w:r>
    </w:p>
    <w:p w:rsidR="0069363D" w:rsidRPr="0069363D" w:rsidRDefault="0069363D" w:rsidP="0069363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69363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3D" w:rsidRPr="0069363D" w:rsidRDefault="0069363D" w:rsidP="0069363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单县政府网</w:t>
      </w:r>
    </w:p>
    <w:p w:rsidR="0069363D" w:rsidRPr="0069363D" w:rsidRDefault="0069363D" w:rsidP="0069363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69363D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69363D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69363D" w:rsidRPr="0069363D" w:rsidRDefault="0069363D" w:rsidP="0069363D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69363D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69363D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69363D">
        <w:rPr>
          <w:rFonts w:ascii="Arial" w:eastAsia="宋体" w:hAnsi="Arial" w:cs="Arial"/>
          <w:color w:val="212E64"/>
          <w:kern w:val="0"/>
          <w:sz w:val="18"/>
          <w:szCs w:val="18"/>
        </w:rPr>
        <w:t>在土地租赁与征用，财政扶持，税收优惠，费用减免等方面提供支持。</w:t>
      </w:r>
      <w:r w:rsidRPr="0069363D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69363D">
        <w:rPr>
          <w:rFonts w:ascii="Arial" w:eastAsia="宋体" w:hAnsi="Arial" w:cs="Arial"/>
          <w:color w:val="212E64"/>
          <w:kern w:val="0"/>
          <w:sz w:val="18"/>
          <w:szCs w:val="18"/>
        </w:rPr>
        <w:t>在用地方面。企业用地可以通过出让、租赁、联合开发等形式获得土地使用权。依法通过出让获得国有土地使用权</w:t>
      </w:r>
    </w:p>
    <w:p w:rsidR="0069363D" w:rsidRPr="0069363D" w:rsidRDefault="0069363D" w:rsidP="0069363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69363D" w:rsidRPr="0069363D" w:rsidRDefault="0069363D" w:rsidP="0069363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69363D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在土地租赁与征用，财政扶持，税收优惠，费用减免等方面提供支持。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在用地方面。企业用地可以通过出让、租赁、联合开发等形式获得土地使用权。依法通过出让获得国有土地使用权的企业，在合同约定</w:t>
      </w:r>
      <w:hyperlink r:id="rId7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到位的情况下，其土地使用权可以转让、抵押或者继承。受让人在土地使用期满前提出申请，可重新办理出让手续。在经济开发区内，新建生产加工项目固定资产一次性</w:t>
      </w:r>
      <w:hyperlink r:id="rId8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人民币，下同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以下的，土地出让每亩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3.5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固定资产投资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3000-6000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万元的，土地出让价每亩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万元。</w:t>
      </w:r>
      <w:hyperlink r:id="rId9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商业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0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旅游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1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娱乐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和</w:t>
      </w:r>
      <w:hyperlink r:id="rId12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房地产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开发等经营性用地，以出让方式供地的，土地一律实行招标、拍卖和挂牌出让。</w:t>
      </w:r>
    </w:p>
    <w:p w:rsidR="0069363D" w:rsidRPr="0069363D" w:rsidRDefault="0069363D" w:rsidP="0069363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69363D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在税收政策方面。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凡在县经济开发区内，新办生产经营性项目，一次性固定资产投资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-3000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万元的企业，自投产之日起三年内，县财政分别将企业实缴所得税、增值税地方所得部分的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和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60%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奖励给企业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一次性固定资产投资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万元以上或年缴增值税额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万元以上的企业，自投产之日起三年内，县财政分别将企业实缴所得税、增值税地方所得部分的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和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70%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奖励给企业。在县经济开发区外，新上固定资产投资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(50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万美元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以上的生产加工型项目，自投产之日起三年内按上缴全部税金地方留成部分的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扶持给企业。兼并、收购、参股经营原有工业企业的，三年内按上缴全部税金地方留成部分的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90%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扶持给企业。外商用取得的利润直接用于扩大生产规模或在我县投资其他项目，从注入资金起，三年内按上缴全部税金地方留成部分的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扶持给企业。</w:t>
      </w:r>
    </w:p>
    <w:p w:rsidR="0069363D" w:rsidRPr="0069363D" w:rsidRDefault="0069363D" w:rsidP="0069363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</w:t>
      </w:r>
      <w:r w:rsidRPr="0069363D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在收费方面。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凡投资生产加工型投资项目，属于市以上收费项目的，按最低价收取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属于县内行政性收费项目的一律免缴。</w:t>
      </w:r>
    </w:p>
    <w:p w:rsidR="0069363D" w:rsidRPr="0069363D" w:rsidRDefault="0069363D" w:rsidP="0069363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69363D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同时规定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，入区企业在符合开发区和城镇规划的前提下，可根据企业生产工艺要求，有权自行设计、自主选择建设单位和用工方式，任何单位和个人不准到企业干涉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对形成固定资产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(50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万美元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以上的</w:t>
      </w:r>
      <w:proofErr w:type="gramStart"/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企业发挂保护</w:t>
      </w:r>
      <w:proofErr w:type="gramEnd"/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牌，实行重点保护，封闭管理，任何单位和个人不得擅自到企业检查、收费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对外来企业实行全方位服务，所有审批、审核、登记等手续，均由县政府及有关部门负责办理，县内无偿代办，县外全程协办。对固定资产投资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6000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万元以上、投资密度达到每亩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万元、</w:t>
      </w:r>
      <w:hyperlink r:id="rId13" w:tgtFrame="_blank" w:history="1">
        <w:r w:rsidRPr="0069363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高科技</w:t>
        </w:r>
      </w:hyperlink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含量、高附加值的大项目和特大项目，还可以采取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一个项目一议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的办法，</w:t>
      </w:r>
      <w:proofErr w:type="gramStart"/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特</w:t>
      </w:r>
      <w:proofErr w:type="gramEnd"/>
      <w:r w:rsidRPr="0069363D">
        <w:rPr>
          <w:rFonts w:ascii="Arial" w:eastAsia="宋体" w:hAnsi="Arial" w:cs="Arial"/>
          <w:color w:val="444444"/>
          <w:kern w:val="0"/>
          <w:sz w:val="24"/>
          <w:szCs w:val="24"/>
        </w:rPr>
        <w:t>事特办。</w:t>
      </w:r>
    </w:p>
    <w:p w:rsidR="0069363D" w:rsidRPr="0069363D" w:rsidRDefault="0069363D" w:rsidP="0069363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69363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3D" w:rsidRPr="0069363D" w:rsidRDefault="0069363D" w:rsidP="0069363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责任编辑：</w:t>
      </w:r>
      <w:proofErr w:type="gramStart"/>
      <w:r w:rsidRPr="0069363D">
        <w:rPr>
          <w:rFonts w:ascii="Arial" w:eastAsia="宋体" w:hAnsi="Arial" w:cs="Arial"/>
          <w:color w:val="BBBBBB"/>
          <w:kern w:val="0"/>
          <w:sz w:val="18"/>
          <w:szCs w:val="18"/>
        </w:rPr>
        <w:t>宋恩宝</w:t>
      </w:r>
      <w:proofErr w:type="gramEnd"/>
    </w:p>
    <w:p w:rsidR="00163541" w:rsidRDefault="00163541"/>
    <w:sectPr w:rsidR="0016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3D"/>
    <w:rsid w:val="00163541"/>
    <w:rsid w:val="0069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978B5-0043-487F-9957-F5EF7268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36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936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6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9363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9363D"/>
    <w:rPr>
      <w:color w:val="0000FF"/>
      <w:u w:val="single"/>
    </w:rPr>
  </w:style>
  <w:style w:type="character" w:customStyle="1" w:styleId="bsharecount">
    <w:name w:val="bshare_count"/>
    <w:basedOn w:val="a0"/>
    <w:rsid w:val="0069363D"/>
  </w:style>
  <w:style w:type="character" w:customStyle="1" w:styleId="sumcolor">
    <w:name w:val="sum_color"/>
    <w:basedOn w:val="a0"/>
    <w:rsid w:val="0069363D"/>
  </w:style>
  <w:style w:type="character" w:customStyle="1" w:styleId="sumtir">
    <w:name w:val="sum_tir"/>
    <w:basedOn w:val="a0"/>
    <w:rsid w:val="0069363D"/>
  </w:style>
  <w:style w:type="paragraph" w:styleId="a4">
    <w:name w:val="Normal (Web)"/>
    <w:basedOn w:val="a"/>
    <w:uiPriority w:val="99"/>
    <w:semiHidden/>
    <w:unhideWhenUsed/>
    <w:rsid w:val="00693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93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747149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1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52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56458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476529923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08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c/HangYeFenLei.php?typeid2=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hyperlink" Target="http://www.zgsxzs.com/industry/1076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c/HangYeFenLei.php?typeid2=124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zgsxzs.com/industry/1118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c/HangYeFenLei.php?typeid2=11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2018-05-23T06:30:00Z</dcterms:created>
  <dcterms:modified xsi:type="dcterms:W3CDTF">2018-05-23T06:30:00Z</dcterms:modified>
</cp:coreProperties>
</file>