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jc w:val="center"/>
        <w:tblCellSpacing w:w="0" w:type="dxa"/>
        <w:tblCellMar>
          <w:left w:w="0" w:type="dxa"/>
          <w:right w:w="0" w:type="dxa"/>
        </w:tblCellMar>
        <w:tblLook w:val="04A0" w:firstRow="1" w:lastRow="0" w:firstColumn="1" w:lastColumn="0" w:noHBand="0" w:noVBand="1"/>
      </w:tblPr>
      <w:tblGrid>
        <w:gridCol w:w="11430"/>
      </w:tblGrid>
      <w:tr w:rsidR="00A811D0" w:rsidRPr="00A811D0">
        <w:trPr>
          <w:trHeight w:val="450"/>
          <w:tblCellSpacing w:w="0" w:type="dxa"/>
          <w:jc w:val="center"/>
        </w:trPr>
        <w:tc>
          <w:tcPr>
            <w:tcW w:w="10800" w:type="dxa"/>
            <w:vAlign w:val="center"/>
            <w:hideMark/>
          </w:tcPr>
          <w:p w:rsidR="00A811D0" w:rsidRPr="00A811D0" w:rsidRDefault="00A811D0" w:rsidP="00A811D0">
            <w:pPr>
              <w:widowControl/>
              <w:spacing w:line="240" w:lineRule="auto"/>
              <w:jc w:val="center"/>
              <w:rPr>
                <w:rFonts w:ascii="仿宋_GB2312" w:eastAsia="仿宋_GB2312" w:hAnsi="宋体" w:cs="宋体"/>
                <w:b/>
                <w:bCs/>
                <w:color w:val="333333"/>
                <w:kern w:val="0"/>
                <w:sz w:val="33"/>
                <w:szCs w:val="33"/>
              </w:rPr>
            </w:pPr>
            <w:r w:rsidRPr="00A811D0">
              <w:rPr>
                <w:rFonts w:ascii="仿宋_GB2312" w:eastAsia="仿宋_GB2312" w:hAnsi="宋体" w:cs="宋体" w:hint="eastAsia"/>
                <w:b/>
                <w:bCs/>
                <w:color w:val="333333"/>
                <w:kern w:val="0"/>
                <w:sz w:val="33"/>
                <w:szCs w:val="33"/>
              </w:rPr>
              <w:t>内蒙古自治区著名商标认定和保护办法</w:t>
            </w:r>
          </w:p>
        </w:tc>
      </w:tr>
      <w:tr w:rsidR="00A811D0" w:rsidRPr="00A811D0">
        <w:trPr>
          <w:tblCellSpacing w:w="0" w:type="dxa"/>
          <w:jc w:val="center"/>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10058"/>
            </w:tblGrid>
            <w:tr w:rsidR="00A811D0" w:rsidRPr="00A811D0">
              <w:trPr>
                <w:trHeight w:val="375"/>
                <w:tblCellSpacing w:w="0" w:type="dxa"/>
                <w:jc w:val="center"/>
              </w:trPr>
              <w:tc>
                <w:tcPr>
                  <w:tcW w:w="0" w:type="auto"/>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2267"/>
                    <w:gridCol w:w="3844"/>
                    <w:gridCol w:w="2760"/>
                    <w:gridCol w:w="986"/>
                  </w:tblGrid>
                  <w:tr w:rsidR="00A811D0" w:rsidRPr="00A811D0">
                    <w:trPr>
                      <w:trHeight w:val="225"/>
                      <w:tblCellSpacing w:w="0" w:type="dxa"/>
                      <w:jc w:val="center"/>
                    </w:trPr>
                    <w:tc>
                      <w:tcPr>
                        <w:tcW w:w="1150" w:type="pct"/>
                        <w:vAlign w:val="bottom"/>
                        <w:hideMark/>
                      </w:tcPr>
                      <w:p w:rsidR="00A811D0" w:rsidRPr="00A811D0" w:rsidRDefault="00A811D0" w:rsidP="00A811D0">
                        <w:pPr>
                          <w:widowControl/>
                          <w:spacing w:line="240" w:lineRule="auto"/>
                          <w:jc w:val="left"/>
                          <w:rPr>
                            <w:rFonts w:ascii="宋体" w:eastAsia="宋体" w:hAnsi="宋体" w:cs="宋体" w:hint="eastAsia"/>
                            <w:color w:val="333333"/>
                            <w:kern w:val="0"/>
                            <w:sz w:val="18"/>
                            <w:szCs w:val="18"/>
                          </w:rPr>
                        </w:pPr>
                        <w:r w:rsidRPr="00A811D0">
                          <w:rPr>
                            <w:rFonts w:ascii="宋体" w:eastAsia="宋体" w:hAnsi="宋体" w:cs="宋体"/>
                            <w:color w:val="333333"/>
                            <w:kern w:val="0"/>
                            <w:sz w:val="18"/>
                            <w:szCs w:val="18"/>
                          </w:rPr>
                          <w:t>2015/5/18|</w:t>
                        </w:r>
                      </w:p>
                    </w:tc>
                    <w:tc>
                      <w:tcPr>
                        <w:tcW w:w="1950" w:type="pct"/>
                        <w:vAlign w:val="bottom"/>
                        <w:hideMark/>
                      </w:tcPr>
                      <w:p w:rsidR="00A811D0" w:rsidRPr="00A811D0" w:rsidRDefault="00A811D0" w:rsidP="00A811D0">
                        <w:pPr>
                          <w:widowControl/>
                          <w:spacing w:line="240" w:lineRule="auto"/>
                          <w:jc w:val="left"/>
                          <w:rPr>
                            <w:rFonts w:ascii="宋体" w:eastAsia="宋体" w:hAnsi="宋体" w:cs="宋体"/>
                            <w:color w:val="333333"/>
                            <w:kern w:val="0"/>
                            <w:sz w:val="18"/>
                            <w:szCs w:val="18"/>
                          </w:rPr>
                        </w:pPr>
                        <w:r w:rsidRPr="00A811D0">
                          <w:rPr>
                            <w:rFonts w:ascii="宋体" w:eastAsia="宋体" w:hAnsi="宋体" w:cs="宋体"/>
                            <w:color w:val="333333"/>
                            <w:kern w:val="0"/>
                            <w:sz w:val="18"/>
                            <w:szCs w:val="18"/>
                          </w:rPr>
                          <w:t>内蒙古自治区政府</w:t>
                        </w:r>
                      </w:p>
                    </w:tc>
                    <w:tc>
                      <w:tcPr>
                        <w:tcW w:w="1400" w:type="pct"/>
                        <w:vAlign w:val="bottom"/>
                        <w:hideMark/>
                      </w:tcPr>
                      <w:p w:rsidR="00A811D0" w:rsidRPr="00A811D0" w:rsidRDefault="00A811D0" w:rsidP="00A811D0">
                        <w:pPr>
                          <w:widowControl/>
                          <w:spacing w:line="240" w:lineRule="auto"/>
                          <w:jc w:val="left"/>
                          <w:rPr>
                            <w:rFonts w:ascii="宋体" w:eastAsia="宋体" w:hAnsi="宋体" w:cs="宋体"/>
                            <w:color w:val="333333"/>
                            <w:kern w:val="0"/>
                            <w:sz w:val="18"/>
                            <w:szCs w:val="18"/>
                          </w:rPr>
                        </w:pPr>
                      </w:p>
                    </w:tc>
                    <w:tc>
                      <w:tcPr>
                        <w:tcW w:w="500" w:type="pct"/>
                        <w:vAlign w:val="bottom"/>
                        <w:hideMark/>
                      </w:tcPr>
                      <w:p w:rsidR="00A811D0" w:rsidRPr="00A811D0" w:rsidRDefault="00A811D0" w:rsidP="00A811D0">
                        <w:pPr>
                          <w:widowControl/>
                          <w:spacing w:line="240" w:lineRule="auto"/>
                          <w:jc w:val="left"/>
                          <w:rPr>
                            <w:rFonts w:ascii="宋体" w:eastAsia="宋体" w:hAnsi="宋体" w:cs="宋体"/>
                            <w:color w:val="333333"/>
                            <w:kern w:val="0"/>
                            <w:sz w:val="18"/>
                            <w:szCs w:val="18"/>
                          </w:rPr>
                        </w:pPr>
                        <w:r w:rsidRPr="00A811D0">
                          <w:rPr>
                            <w:rFonts w:ascii="宋体" w:eastAsia="宋体" w:hAnsi="宋体" w:cs="宋体"/>
                            <w:color w:val="333333"/>
                            <w:kern w:val="0"/>
                            <w:sz w:val="18"/>
                            <w:szCs w:val="18"/>
                          </w:rPr>
                          <w:t>览5729次</w:t>
                        </w:r>
                      </w:p>
                    </w:tc>
                  </w:tr>
                </w:tbl>
                <w:p w:rsidR="00A811D0" w:rsidRPr="00A811D0" w:rsidRDefault="00A811D0" w:rsidP="00A811D0">
                  <w:pPr>
                    <w:widowControl/>
                    <w:spacing w:line="240" w:lineRule="auto"/>
                    <w:jc w:val="left"/>
                    <w:rPr>
                      <w:rFonts w:ascii="宋体" w:eastAsia="宋体" w:hAnsi="宋体" w:cs="宋体"/>
                      <w:color w:val="333333"/>
                      <w:kern w:val="0"/>
                      <w:sz w:val="18"/>
                      <w:szCs w:val="18"/>
                    </w:rPr>
                  </w:pPr>
                </w:p>
              </w:tc>
            </w:tr>
            <w:tr w:rsidR="00A811D0" w:rsidRPr="00A811D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058"/>
                  </w:tblGrid>
                  <w:tr w:rsidR="00A811D0" w:rsidRPr="00A811D0">
                    <w:trPr>
                      <w:tblCellSpacing w:w="0" w:type="dxa"/>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5753"/>
                          <w:gridCol w:w="3098"/>
                        </w:tblGrid>
                        <w:tr w:rsidR="00A811D0" w:rsidRPr="00A811D0">
                          <w:trPr>
                            <w:tblCellSpacing w:w="0" w:type="dxa"/>
                            <w:jc w:val="center"/>
                          </w:trPr>
                          <w:tc>
                            <w:tcPr>
                              <w:tcW w:w="3250" w:type="pct"/>
                              <w:hideMark/>
                            </w:tcPr>
                            <w:p w:rsidR="00A811D0" w:rsidRPr="00A811D0" w:rsidRDefault="00A811D0" w:rsidP="00A811D0">
                              <w:pPr>
                                <w:widowControl/>
                                <w:spacing w:line="525" w:lineRule="atLeast"/>
                                <w:jc w:val="left"/>
                                <w:rPr>
                                  <w:rFonts w:ascii="宋体" w:eastAsia="宋体" w:hAnsi="宋体" w:cs="宋体"/>
                                  <w:b/>
                                  <w:bCs/>
                                  <w:color w:val="996600"/>
                                  <w:kern w:val="0"/>
                                  <w:sz w:val="18"/>
                                  <w:szCs w:val="18"/>
                                </w:rPr>
                              </w:pPr>
                              <w:r w:rsidRPr="00A811D0">
                                <w:rPr>
                                  <w:rFonts w:ascii="宋体" w:eastAsia="宋体" w:hAnsi="宋体" w:cs="宋体"/>
                                  <w:b/>
                                  <w:bCs/>
                                  <w:color w:val="996600"/>
                                  <w:kern w:val="0"/>
                                  <w:sz w:val="18"/>
                                  <w:szCs w:val="18"/>
                                </w:rPr>
                                <w:t>信息索引号：NMG-022-0102000-2015-002</w:t>
                              </w:r>
                            </w:p>
                          </w:tc>
                          <w:tc>
                            <w:tcPr>
                              <w:tcW w:w="1750" w:type="pct"/>
                              <w:hideMark/>
                            </w:tcPr>
                            <w:p w:rsidR="00A811D0" w:rsidRPr="00A811D0" w:rsidRDefault="00A811D0" w:rsidP="00A811D0">
                              <w:pPr>
                                <w:widowControl/>
                                <w:spacing w:line="525" w:lineRule="atLeast"/>
                                <w:jc w:val="left"/>
                                <w:rPr>
                                  <w:rFonts w:ascii="宋体" w:eastAsia="宋体" w:hAnsi="宋体" w:cs="宋体"/>
                                  <w:b/>
                                  <w:bCs/>
                                  <w:color w:val="996600"/>
                                  <w:kern w:val="0"/>
                                  <w:sz w:val="18"/>
                                  <w:szCs w:val="18"/>
                                </w:rPr>
                              </w:pPr>
                              <w:r w:rsidRPr="00A811D0">
                                <w:rPr>
                                  <w:rFonts w:ascii="宋体" w:eastAsia="宋体" w:hAnsi="宋体" w:cs="宋体"/>
                                  <w:b/>
                                  <w:bCs/>
                                  <w:color w:val="996600"/>
                                  <w:kern w:val="0"/>
                                  <w:sz w:val="18"/>
                                  <w:szCs w:val="18"/>
                                </w:rPr>
                                <w:t>发布机构：内蒙古自治区政府</w:t>
                              </w:r>
                            </w:p>
                          </w:tc>
                        </w:tr>
                        <w:tr w:rsidR="00A811D0" w:rsidRPr="00A811D0">
                          <w:trPr>
                            <w:tblCellSpacing w:w="0" w:type="dxa"/>
                            <w:jc w:val="center"/>
                          </w:trPr>
                          <w:tc>
                            <w:tcPr>
                              <w:tcW w:w="3250" w:type="pct"/>
                              <w:hideMark/>
                            </w:tcPr>
                            <w:p w:rsidR="00A811D0" w:rsidRPr="00A811D0" w:rsidRDefault="00A811D0" w:rsidP="00A811D0">
                              <w:pPr>
                                <w:widowControl/>
                                <w:spacing w:line="525" w:lineRule="atLeast"/>
                                <w:jc w:val="left"/>
                                <w:rPr>
                                  <w:rFonts w:ascii="宋体" w:eastAsia="宋体" w:hAnsi="宋体" w:cs="宋体"/>
                                  <w:b/>
                                  <w:bCs/>
                                  <w:color w:val="996600"/>
                                  <w:kern w:val="0"/>
                                  <w:sz w:val="18"/>
                                  <w:szCs w:val="18"/>
                                </w:rPr>
                              </w:pPr>
                              <w:r w:rsidRPr="00A811D0">
                                <w:rPr>
                                  <w:rFonts w:ascii="宋体" w:eastAsia="宋体" w:hAnsi="宋体" w:cs="宋体"/>
                                  <w:b/>
                                  <w:bCs/>
                                  <w:color w:val="996600"/>
                                  <w:kern w:val="0"/>
                                  <w:sz w:val="18"/>
                                  <w:szCs w:val="18"/>
                                </w:rPr>
                                <w:t>内容描述：著名商标认定和保护</w:t>
                              </w:r>
                            </w:p>
                          </w:tc>
                          <w:tc>
                            <w:tcPr>
                              <w:tcW w:w="1750" w:type="pct"/>
                              <w:hideMark/>
                            </w:tcPr>
                            <w:p w:rsidR="00A811D0" w:rsidRPr="00A811D0" w:rsidRDefault="00A811D0" w:rsidP="00A811D0">
                              <w:pPr>
                                <w:widowControl/>
                                <w:spacing w:line="525" w:lineRule="atLeast"/>
                                <w:jc w:val="left"/>
                                <w:rPr>
                                  <w:rFonts w:ascii="宋体" w:eastAsia="宋体" w:hAnsi="宋体" w:cs="宋体"/>
                                  <w:b/>
                                  <w:bCs/>
                                  <w:color w:val="996600"/>
                                  <w:kern w:val="0"/>
                                  <w:sz w:val="18"/>
                                  <w:szCs w:val="18"/>
                                </w:rPr>
                              </w:pPr>
                              <w:r w:rsidRPr="00A811D0">
                                <w:rPr>
                                  <w:rFonts w:ascii="宋体" w:eastAsia="宋体" w:hAnsi="宋体" w:cs="宋体"/>
                                  <w:b/>
                                  <w:bCs/>
                                  <w:color w:val="996600"/>
                                  <w:kern w:val="0"/>
                                  <w:sz w:val="18"/>
                                  <w:szCs w:val="18"/>
                                </w:rPr>
                                <w:t>公开时限：长期公开</w:t>
                              </w:r>
                            </w:p>
                          </w:tc>
                        </w:tr>
                      </w:tbl>
                      <w:p w:rsidR="00A811D0" w:rsidRPr="00A811D0" w:rsidRDefault="00A811D0" w:rsidP="00A811D0">
                        <w:pPr>
                          <w:widowControl/>
                          <w:spacing w:line="240" w:lineRule="auto"/>
                          <w:jc w:val="center"/>
                          <w:rPr>
                            <w:rFonts w:ascii="宋体" w:eastAsia="宋体" w:hAnsi="宋体" w:cs="宋体"/>
                            <w:color w:val="333333"/>
                            <w:kern w:val="0"/>
                            <w:sz w:val="18"/>
                            <w:szCs w:val="18"/>
                          </w:rPr>
                        </w:pPr>
                      </w:p>
                    </w:tc>
                  </w:tr>
                  <w:tr w:rsidR="00A811D0" w:rsidRPr="00A811D0">
                    <w:trPr>
                      <w:tblCellSpacing w:w="0" w:type="dxa"/>
                    </w:trPr>
                    <w:tc>
                      <w:tcPr>
                        <w:tcW w:w="0" w:type="auto"/>
                        <w:vAlign w:val="center"/>
                        <w:hideMark/>
                      </w:tcPr>
                      <w:p w:rsidR="00A811D0" w:rsidRPr="00A811D0" w:rsidRDefault="00A811D0" w:rsidP="00A811D0">
                        <w:pPr>
                          <w:widowControl/>
                          <w:numPr>
                            <w:ilvl w:val="0"/>
                            <w:numId w:val="1"/>
                          </w:numPr>
                          <w:spacing w:before="100" w:beforeAutospacing="1" w:after="150" w:line="600" w:lineRule="atLeast"/>
                          <w:jc w:val="center"/>
                          <w:rPr>
                            <w:rFonts w:ascii="宋体" w:eastAsia="宋体" w:hAnsi="宋体" w:cs="宋体"/>
                            <w:color w:val="333333"/>
                            <w:kern w:val="0"/>
                            <w:sz w:val="27"/>
                            <w:szCs w:val="27"/>
                          </w:rPr>
                        </w:pPr>
                        <w:hyperlink r:id="rId5" w:history="1">
                          <w:r w:rsidRPr="00A811D0">
                            <w:rPr>
                              <w:rFonts w:ascii="宋体" w:eastAsia="宋体" w:hAnsi="宋体" w:cs="宋体"/>
                              <w:color w:val="000000"/>
                              <w:kern w:val="0"/>
                              <w:sz w:val="27"/>
                              <w:szCs w:val="27"/>
                            </w:rPr>
                            <w:t>打印</w:t>
                          </w:r>
                        </w:hyperlink>
                      </w:p>
                      <w:p w:rsidR="00A811D0" w:rsidRPr="00A811D0" w:rsidRDefault="00A811D0" w:rsidP="00A811D0">
                        <w:pPr>
                          <w:widowControl/>
                          <w:spacing w:before="100" w:beforeAutospacing="1" w:after="150" w:line="600" w:lineRule="atLeast"/>
                          <w:ind w:left="720"/>
                          <w:jc w:val="left"/>
                          <w:rPr>
                            <w:rFonts w:ascii="宋体" w:eastAsia="宋体" w:hAnsi="宋体" w:cs="宋体"/>
                            <w:color w:val="333333"/>
                            <w:kern w:val="0"/>
                            <w:sz w:val="18"/>
                            <w:szCs w:val="18"/>
                          </w:rPr>
                        </w:pPr>
                        <w:r w:rsidRPr="00A811D0">
                          <w:rPr>
                            <w:rFonts w:ascii="宋体" w:eastAsia="宋体" w:hAnsi="宋体" w:cs="宋体"/>
                            <w:noProof/>
                            <w:color w:val="333333"/>
                            <w:kern w:val="0"/>
                            <w:sz w:val="18"/>
                            <w:szCs w:val="18"/>
                          </w:rPr>
                          <w:drawing>
                            <wp:inline distT="0" distB="0" distL="0" distR="0">
                              <wp:extent cx="333375" cy="333375"/>
                              <wp:effectExtent l="0" t="0" r="9525" b="9525"/>
                              <wp:docPr id="2" name="图片 2" descr="http://kjt.nmg.gov.cn/images/fabu_right_ic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t.nmg.gov.cn/images/fabu_right_icon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A811D0" w:rsidRPr="00A811D0" w:rsidRDefault="00A811D0" w:rsidP="00A811D0">
                        <w:pPr>
                          <w:widowControl/>
                          <w:numPr>
                            <w:ilvl w:val="0"/>
                            <w:numId w:val="1"/>
                          </w:numPr>
                          <w:spacing w:before="100" w:beforeAutospacing="1" w:after="150" w:line="600" w:lineRule="atLeast"/>
                          <w:jc w:val="center"/>
                          <w:rPr>
                            <w:rFonts w:ascii="宋体" w:eastAsia="宋体" w:hAnsi="宋体" w:cs="宋体"/>
                            <w:color w:val="333333"/>
                            <w:kern w:val="0"/>
                            <w:sz w:val="27"/>
                            <w:szCs w:val="27"/>
                          </w:rPr>
                        </w:pPr>
                        <w:r w:rsidRPr="00A811D0">
                          <w:rPr>
                            <w:rFonts w:ascii="宋体" w:eastAsia="宋体" w:hAnsi="宋体" w:cs="宋体"/>
                            <w:color w:val="333333"/>
                            <w:kern w:val="0"/>
                            <w:sz w:val="27"/>
                            <w:szCs w:val="27"/>
                          </w:rPr>
                          <w:t>分享</w:t>
                        </w:r>
                      </w:p>
                      <w:p w:rsidR="00A811D0" w:rsidRPr="00A811D0" w:rsidRDefault="00A811D0" w:rsidP="00A811D0">
                        <w:pPr>
                          <w:widowControl/>
                          <w:spacing w:before="100" w:beforeAutospacing="1" w:after="150" w:line="600" w:lineRule="atLeast"/>
                          <w:ind w:left="720"/>
                          <w:jc w:val="left"/>
                          <w:rPr>
                            <w:rFonts w:ascii="宋体" w:eastAsia="宋体" w:hAnsi="宋体" w:cs="宋体"/>
                            <w:color w:val="333333"/>
                            <w:kern w:val="0"/>
                            <w:sz w:val="18"/>
                            <w:szCs w:val="18"/>
                          </w:rPr>
                        </w:pPr>
                        <w:r w:rsidRPr="00A811D0">
                          <w:rPr>
                            <w:rFonts w:ascii="宋体" w:eastAsia="宋体" w:hAnsi="宋体" w:cs="宋体"/>
                            <w:noProof/>
                            <w:color w:val="333333"/>
                            <w:kern w:val="0"/>
                            <w:sz w:val="18"/>
                            <w:szCs w:val="18"/>
                          </w:rPr>
                          <w:drawing>
                            <wp:inline distT="0" distB="0" distL="0" distR="0">
                              <wp:extent cx="333375" cy="333375"/>
                              <wp:effectExtent l="0" t="0" r="9525" b="9525"/>
                              <wp:docPr id="1" name="图片 1" descr="http://kjt.nmg.gov.cn/images/fabu_right_ic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t.nmg.gov.cn/images/fabu_right_icon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A811D0" w:rsidRPr="00A811D0" w:rsidRDefault="00A811D0" w:rsidP="00A811D0">
                        <w:pPr>
                          <w:widowControl/>
                          <w:spacing w:before="100" w:beforeAutospacing="1" w:after="150" w:line="600" w:lineRule="atLeast"/>
                          <w:ind w:left="720"/>
                          <w:jc w:val="left"/>
                          <w:rPr>
                            <w:rFonts w:ascii="宋体" w:eastAsia="宋体" w:hAnsi="宋体" w:cs="宋体"/>
                            <w:color w:val="333333"/>
                            <w:kern w:val="0"/>
                            <w:sz w:val="18"/>
                            <w:szCs w:val="18"/>
                          </w:rPr>
                        </w:pPr>
                        <w:r w:rsidRPr="00A811D0">
                          <w:rPr>
                            <w:rFonts w:ascii="宋体" w:eastAsia="宋体" w:hAnsi="宋体" w:cs="宋体"/>
                            <w:color w:val="333333"/>
                            <w:kern w:val="0"/>
                            <w:sz w:val="18"/>
                            <w:szCs w:val="18"/>
                          </w:rPr>
                          <w:pict/>
                        </w:r>
                      </w:p>
                    </w:tc>
                  </w:tr>
                  <w:tr w:rsidR="00A811D0" w:rsidRPr="00A811D0">
                    <w:trPr>
                      <w:tblCellSpacing w:w="0" w:type="dxa"/>
                    </w:trPr>
                    <w:tc>
                      <w:tcPr>
                        <w:tcW w:w="0" w:type="auto"/>
                        <w:tcMar>
                          <w:top w:w="0" w:type="dxa"/>
                          <w:left w:w="450" w:type="dxa"/>
                          <w:bottom w:w="0" w:type="dxa"/>
                          <w:right w:w="0" w:type="dxa"/>
                        </w:tcMar>
                        <w:vAlign w:val="center"/>
                        <w:hideMark/>
                      </w:tcPr>
                      <w:p w:rsidR="00A811D0" w:rsidRPr="00A811D0" w:rsidRDefault="00A811D0" w:rsidP="00A811D0">
                        <w:pPr>
                          <w:widowControl/>
                          <w:spacing w:line="525" w:lineRule="atLeast"/>
                          <w:jc w:val="left"/>
                          <w:rPr>
                            <w:rFonts w:ascii="宋体" w:eastAsia="宋体" w:hAnsi="宋体" w:cs="宋体"/>
                            <w:color w:val="333333"/>
                            <w:kern w:val="0"/>
                            <w:sz w:val="32"/>
                            <w:szCs w:val="32"/>
                          </w:rPr>
                        </w:pPr>
                        <w:r w:rsidRPr="00A811D0">
                          <w:rPr>
                            <w:rFonts w:ascii="宋体" w:eastAsia="宋体" w:hAnsi="宋体" w:cs="宋体" w:hint="eastAsia"/>
                            <w:color w:val="333333"/>
                            <w:kern w:val="0"/>
                            <w:sz w:val="32"/>
                            <w:szCs w:val="32"/>
                          </w:rPr>
                          <w:t xml:space="preserve">第一条　为规范内蒙古自治区著名商标的认定工作，保护内蒙古自治区著名商标所有人和消费者的合法权益，根据《中华人民共和国商标法》和有关法律、法规，结合自治区实际，制定本办法。 </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第二条　内蒙古自治区著名商标(以下简称内蒙古著名商标)是指在自治区行政区域内市场上享有较高信誉，为相关公众所知晓，并根据本办法予以认定的注册商标。</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第三条  内蒙古著名商标的认定、保护适用本办法。</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第四条  内蒙古著名商标的认定遵循公开、公平、公正的原则。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第五条  自治区工商行政管理部门负责内蒙古著名商标的认定、保护工作。</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第六条  申请内蒙古著名商标应当具备下列条件：</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(一)  申请人住所或者商品产地在自治区行政区域内；</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(二)  申请人为注册商标所有人；</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(三)  该商标自商标核准注册之日起连续3年依法使用，并且商标权属无争议；</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(四)  该商标所指商品在自治区或者国内同类商品中质量和售后服务优良，在相关公众中具有较高知名度和良好的市场信誉；</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(五)  该商标所指商品近3年的销售额、纳税额、市场占有率等主要经济指标在自治区或者国内同类商品中较为领先；</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(六)  该注册商标所有人有严格的商标使用、保护和管理措施；</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(七)  该注册商标所有人近3年未发生过侵犯他人注册商标专用权的违法行为。</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第七条  注册商标所有人申请认定内蒙古著名商标，应当向自治区工商行政管理部门提交下列材料：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(一)  申请书；</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(二)  证明申请人主体资格的有关证件；</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(三)  商标注册证复印件；</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(四)  该商标使用、管理和保护的有关材料；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(五)  该商标的广告发布情况；</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(六)  有关行政管理部门或者行业协会出具的该商标所指商品质量的有关材料；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(七)  有关行政管理部门或者行业协会出具的该商标所指商品近3年的销售额、纳税额、市场占有率等主要经济指标及在自治区、国内同行业排序情况的有关材料；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(八)  与商标知名度有关的其它证明材料。</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注册商标所有人也可以将申请材料交其所在地的盟市工商行政管理部门，盟市工商行政管理部门应当在收到申请材料之日起7个工作日内向自治区工商行政管理部门转送。</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第八条  自治区工商行政管理部门应当自收到申请材料之日起10日内审查完毕。符合本办法第六条、第七条规定的，应当受理；不符合规定的，应当书面说明理由，在10日内通知申请人并退回有关材料。申请材料需要补正的，应当一次性书面通知申请人限期补正；逾期不补正的，视为放弃申请。</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自治区工商行政管理部门对受理的申请应当书面通知申请人，并在自治区范围内发行的报刊或者网站上发布内蒙古著名商标初审公告。自初审公告之日起30日内，任何人可以提出异议。</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第九条  自治区工商行政管理部门组织设立内蒙古著名商标认定委员会(以下简称认定委员会)，负责内蒙古著名商标的评审认定工作。</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认定委员会由不少于40人的法律、经济、科技及相关行业的代表、专家组成，并报自治区人民政府备案。认定委员会的主任委员由自治区工商行政管理部门的主要负责人担任。</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每次评审认定内蒙古著名商标，由自治区工商行政管理部门在认定委员会委员中确定不少于21人单数组成著名商标认定组，集体行使认定权。</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第十条  认定委员会应当对申请材料的真实性、合法性、准确性进行审查、核实，并可以委托有关机构对著名商标申请人的申报材料进行调查核实。</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第十一条  认定委员会委员及相关工作人员与申请人有利害关系的，应当回避。</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第十二条  认定委员会委员及相关工作人员，应当对申请人的有关材料妥善保管，并负有保密义务。</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第十三条  内蒙古著名商标的认定，应当由著名商标认定组全体委员以无记名投票方式表决，并获三分之二以上多数通过。</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内蒙古著名商标认定组的委员不得委托他人代为出席会议并表决。</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第十四条  认定委员会委员的资格、任期和评审认定程序、规则，由自治区工商行政管理部门会同有关部门制定，报自治区人民政府批准后公布执行。</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第十五条  经认定委员会认定为内蒙古著名商标的，由自治区工商行政管理部门颁发《内蒙古自治区著名商标证书》，并在自治区范围内发行的报刊或者网站上公告；不予认定的，以书面形式通知申请人。</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第十六条  被认定为内蒙古著名商标的，自公告之日起3年内有效。有效期满前3个月内蒙古著名商标所有人可以向自治区工商行政管理部门申请续展。符合本办法第六条规定条件的，由自治区工商行政管理部门予以确认并公告。每次续展有效期为3年，逾期未申请续展或者经审查不符合条件的，该著名商标失效，由自治区工商行政管理部门予以公告。</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第十七条  内蒙古著名商标自公告发布之日起，内蒙古著名商标所有人可以在其核定使用的商品及其包装、装潢、说明书、业务函件或者广告宣传、展览以及其他业务活动中使用"内蒙古自治区著名商标"或者"内蒙古著名商标"的字样，并应当标明认定的日期。认定为内蒙古著名商标的商品为知名商品。</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第十八条  未经自治区认定委员会认定或者内蒙古著名商标所有人依法许可，任何自然人、法人和其他组织不得使用"内蒙古自治区著名商标"、"内蒙古著名商标"等足以造成误认的字样。</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第十九条  内蒙古著名商标在同类商品中受以下保护：</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(一)  自然人、法人和其他组织不得擅自将与内蒙古著名商标相同或者相近似的文字、图形、字母、数字、三维标志和颜色组合，以及上述要素的组合作为商品名称、商品装潢使用或者作为未注册商标使用，并足以造成误认；</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(二)  自然人、法人和其他组织不得擅自使用内蒙古著名商标所指商品特有的或者与其近似的名称、包装、装潢，并足以造成误认。</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第二十条  在不相同或者不相类似商品上，自然人、法人和其他组织不得擅自将与内蒙古著名商标相同或者相近似的文字、图形、字母、数字、三维标志和颜色组合，以及上述要素的组合作为商品名称、商品装潢使用或者作为未注册商标使用，并足以造成误认。</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第二十一条  自然人、法人和其他组织不得擅自将与内蒙古著名商标相同或者近似的文字作为企业的字号或者店铺名称使用；不得擅自将与内蒙古著名商标所有人的企业字号或者店铺名称相同或者近似的文字作为本企业字号或者店铺名称以及未注册商标使用，但企业字号或者店铺名称登记在先的除外。</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第二十二条  内蒙古著名商标所有人和使用人应当履行下列义务：</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(一)  内蒙古著名商标所有人和使用人只能将内蒙古著名商标使用在其认定时所核定的商品上，不得扩大使用范围；</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(二)  内蒙古著名商标所有人和使用人应当规范使用"内蒙古自治区著名商标"或者"内蒙古著名商标"字样；</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(三)  内蒙古著名商标所有人许可他人使用时，应当依法办理许可使用手续，并同时报送认定委员会备案；</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(四)  内蒙古著名商标所有人变更注册人名义、地址及其他注册事项的，应当在核准变更之日起30日内将变更事项报送认定委员会备案；</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(五)  内蒙古著名商标所有人依法转让其商标时，受让人应当按照本办法的规定重新申请认定著名商标；</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(六)  法律、法规规定的其它义务。</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第二十三条  有下列情形之一的，由自治区工商行政管理部门撤销其著名商标并予以公告：</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(一)  以提供虚假文件、材料等欺骗手段取得内蒙古著名商标的；</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(二)  该商标所指商品在有效期内商品质量和售后服务差，市场信誉低，销售额、纳税额、市场占有率等主要经济指标下降；</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(三)  超越该著名商标所核定使用的商品范围，责令其限期改正而拒不改正的；</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(四)  无正当理由停止使用内蒙古著名商标一年以上的；</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(五)  违反《中华人民共和国商标法》及相关规定的。</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有前款第(一)项规定情形的，自撤销该著名商标公告之日起3年内不得重新申请认定内蒙古著名商标。</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第二十四条  违反本办法第十八条规定的，由旗县级以上工商行政管理部门责令改正，并视情节处以1000元以上30000元以下罚款。</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第二十五条  违反本办法第十九条规定的，由旗县级以上工商行政管理部门责令行为人停止侵权行为，并根据《中华人民共和国商标法》、《中华人民共和国反不正当竞争法》等有关法律、法规的规定予以处罚。</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第二十六条  违反本办法第二十条、第二十一条规定的，由旗县级以上工商行政管理部门责令行为人停止侵权行为，并处以1000以下罚款；有违法所得的，处以违法所得3倍以下罚款，但最高不得超过30000元。</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第二十七条  违反本办法第二十二条第(一)项规定的，由旗县级以上工商行政管理部门责令限期改正，逾期不改的，处以1000元以下罚款；有违法所得的，处以违法所得3倍以下罚款，但最高不得超过30000元。</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lastRenderedPageBreak/>
                          <w:t xml:space="preserve">　　违反本办法第二十二条第(二)、(三)、(四)项规定的，由旗县级以上工商行政管理部门责令限期改正，逾期不改的，处以1000元以下罚款。</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第二十八条  以提供虚假文件、材料等欺骗手段骗取内蒙古著名商标的，由旗县级以上工商行政管理部门处以1000元以上30000元以下罚款。</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第二十九条  工商行政管理部门工作人员在内蒙古著名商标认定和保护工作中，不履行法定职责、玩忽职守、滥用职权、徇私舞弊、收受贿赂的，由其任免机关或者行政监察机关视情节轻重给予行政处分；构成犯罪的，依法追究刑事责任。</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第三十条  自治区已经与其他省、自治区、直辖市签订著名商标保护协议的，该省、自治区、直辖市著名商标所有人的合法权益受本办法保护。</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第三十一条  内蒙古著名商标的认定和保护适用于服务商标。</w:t>
                        </w:r>
                      </w:p>
                      <w:p w:rsidR="00A811D0" w:rsidRPr="00A811D0" w:rsidRDefault="00A811D0" w:rsidP="00A811D0">
                        <w:pPr>
                          <w:widowControl/>
                          <w:spacing w:before="100" w:beforeAutospacing="1" w:after="100" w:afterAutospacing="1" w:line="525" w:lineRule="atLeast"/>
                          <w:jc w:val="left"/>
                          <w:rPr>
                            <w:rFonts w:ascii="宋体" w:eastAsia="宋体" w:hAnsi="宋体" w:cs="宋体" w:hint="eastAsia"/>
                            <w:color w:val="333333"/>
                            <w:kern w:val="0"/>
                            <w:sz w:val="32"/>
                            <w:szCs w:val="32"/>
                          </w:rPr>
                        </w:pPr>
                        <w:r w:rsidRPr="00A811D0">
                          <w:rPr>
                            <w:rFonts w:ascii="宋体" w:eastAsia="宋体" w:hAnsi="宋体" w:cs="宋体" w:hint="eastAsia"/>
                            <w:color w:val="333333"/>
                            <w:kern w:val="0"/>
                            <w:sz w:val="32"/>
                            <w:szCs w:val="32"/>
                          </w:rPr>
                          <w:t xml:space="preserve">　　第三十二条  本办法自2004年11月1日起施行。</w:t>
                        </w:r>
                      </w:p>
                    </w:tc>
                  </w:tr>
                </w:tbl>
                <w:p w:rsidR="00A811D0" w:rsidRPr="00A811D0" w:rsidRDefault="00A811D0" w:rsidP="00A811D0">
                  <w:pPr>
                    <w:widowControl/>
                    <w:spacing w:line="240" w:lineRule="auto"/>
                    <w:jc w:val="left"/>
                    <w:rPr>
                      <w:rFonts w:ascii="宋体" w:eastAsia="宋体" w:hAnsi="宋体" w:cs="宋体" w:hint="eastAsia"/>
                      <w:color w:val="333333"/>
                      <w:kern w:val="0"/>
                      <w:sz w:val="18"/>
                      <w:szCs w:val="18"/>
                    </w:rPr>
                  </w:pPr>
                </w:p>
              </w:tc>
            </w:tr>
          </w:tbl>
          <w:p w:rsidR="00A811D0" w:rsidRPr="00A811D0" w:rsidRDefault="00A811D0" w:rsidP="00A811D0">
            <w:pPr>
              <w:widowControl/>
              <w:spacing w:line="240" w:lineRule="auto"/>
              <w:jc w:val="center"/>
              <w:rPr>
                <w:rFonts w:ascii="宋体" w:eastAsia="宋体" w:hAnsi="宋体" w:cs="宋体"/>
                <w:color w:val="333333"/>
                <w:kern w:val="0"/>
                <w:sz w:val="18"/>
                <w:szCs w:val="18"/>
              </w:rPr>
            </w:pPr>
          </w:p>
        </w:tc>
      </w:tr>
    </w:tbl>
    <w:p w:rsidR="00650BB8" w:rsidRDefault="00A811D0">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92D5A"/>
    <w:multiLevelType w:val="multilevel"/>
    <w:tmpl w:val="2C0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F3"/>
    <w:rsid w:val="001F7137"/>
    <w:rsid w:val="00392DEA"/>
    <w:rsid w:val="00551BE2"/>
    <w:rsid w:val="00672B93"/>
    <w:rsid w:val="00A811D0"/>
    <w:rsid w:val="00C9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3A41-E5B4-4143-8967-14BDBE38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Hyperlink"/>
    <w:basedOn w:val="a0"/>
    <w:uiPriority w:val="99"/>
    <w:semiHidden/>
    <w:unhideWhenUsed/>
    <w:rsid w:val="00A811D0"/>
    <w:rPr>
      <w:strike w:val="0"/>
      <w:dstrike w:val="0"/>
      <w:color w:val="000000"/>
      <w:u w:val="none"/>
      <w:effect w:val="none"/>
    </w:rPr>
  </w:style>
  <w:style w:type="paragraph" w:styleId="a4">
    <w:name w:val="Normal (Web)"/>
    <w:basedOn w:val="a"/>
    <w:uiPriority w:val="99"/>
    <w:semiHidden/>
    <w:unhideWhenUsed/>
    <w:rsid w:val="00A811D0"/>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32917">
      <w:bodyDiv w:val="1"/>
      <w:marLeft w:val="0"/>
      <w:marRight w:val="0"/>
      <w:marTop w:val="0"/>
      <w:marBottom w:val="0"/>
      <w:divBdr>
        <w:top w:val="none" w:sz="0" w:space="0" w:color="auto"/>
        <w:left w:val="none" w:sz="0" w:space="0" w:color="auto"/>
        <w:bottom w:val="none" w:sz="0" w:space="0" w:color="auto"/>
        <w:right w:val="none" w:sz="0" w:space="0" w:color="auto"/>
      </w:divBdr>
      <w:divsChild>
        <w:div w:id="1512260737">
          <w:marLeft w:val="0"/>
          <w:marRight w:val="0"/>
          <w:marTop w:val="0"/>
          <w:marBottom w:val="0"/>
          <w:divBdr>
            <w:top w:val="none" w:sz="0" w:space="0" w:color="auto"/>
            <w:left w:val="none" w:sz="0" w:space="0" w:color="auto"/>
            <w:bottom w:val="none" w:sz="0" w:space="0" w:color="auto"/>
            <w:right w:val="none" w:sz="0" w:space="0" w:color="auto"/>
          </w:divBdr>
        </w:div>
        <w:div w:id="323629572">
          <w:marLeft w:val="0"/>
          <w:marRight w:val="0"/>
          <w:marTop w:val="0"/>
          <w:marBottom w:val="0"/>
          <w:divBdr>
            <w:top w:val="none" w:sz="0" w:space="0" w:color="auto"/>
            <w:left w:val="none" w:sz="0" w:space="0" w:color="auto"/>
            <w:bottom w:val="none" w:sz="0" w:space="0" w:color="auto"/>
            <w:right w:val="none" w:sz="0" w:space="0" w:color="auto"/>
          </w:divBdr>
        </w:div>
        <w:div w:id="87169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2018-06-08T07:07:00Z</dcterms:created>
  <dcterms:modified xsi:type="dcterms:W3CDTF">2018-06-08T07:07:00Z</dcterms:modified>
</cp:coreProperties>
</file>