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ascii="微软雅黑" w:hAnsi="微软雅黑" w:eastAsia="微软雅黑" w:cs="微软雅黑"/>
          <w:i w:val="0"/>
          <w:caps w:val="0"/>
          <w:color w:val="000000"/>
          <w:spacing w:val="0"/>
          <w:sz w:val="37"/>
          <w:szCs w:val="37"/>
        </w:rPr>
      </w:pPr>
      <w:bookmarkStart w:id="0" w:name="_GoBack"/>
      <w:r>
        <w:rPr>
          <w:rFonts w:hint="eastAsia" w:ascii="微软雅黑" w:hAnsi="微软雅黑" w:eastAsia="微软雅黑" w:cs="微软雅黑"/>
          <w:i w:val="0"/>
          <w:caps w:val="0"/>
          <w:color w:val="000000"/>
          <w:spacing w:val="0"/>
          <w:kern w:val="0"/>
          <w:sz w:val="37"/>
          <w:szCs w:val="37"/>
          <w:bdr w:val="none" w:color="auto" w:sz="0" w:space="0"/>
          <w:lang w:val="en-US" w:eastAsia="zh-CN" w:bidi="ar"/>
        </w:rPr>
        <w:t>中共靖江市委靖江市人民政府关于进一步强化科技创新推进转型升级的实施意见</w:t>
      </w:r>
    </w:p>
    <w:bookmarkEnd w:id="0"/>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0"/>
        <w:jc w:val="center"/>
        <w:rPr>
          <w:rFonts w:hint="eastAsia" w:ascii="微软雅黑" w:hAnsi="微软雅黑" w:eastAsia="微软雅黑" w:cs="微软雅黑"/>
          <w:i w:val="0"/>
          <w:caps w:val="0"/>
          <w:color w:val="333333"/>
          <w:spacing w:val="0"/>
          <w:sz w:val="22"/>
          <w:szCs w:val="22"/>
        </w:rPr>
      </w:pPr>
      <w:r>
        <w:rPr>
          <w:rFonts w:hint="eastAsia" w:ascii="微软雅黑" w:hAnsi="微软雅黑" w:eastAsia="微软雅黑" w:cs="微软雅黑"/>
          <w:i w:val="0"/>
          <w:caps w:val="0"/>
          <w:color w:val="333333"/>
          <w:spacing w:val="0"/>
          <w:kern w:val="0"/>
          <w:sz w:val="22"/>
          <w:szCs w:val="22"/>
          <w:bdr w:val="none" w:color="auto" w:sz="0" w:space="0"/>
          <w:lang w:val="en-US" w:eastAsia="zh-CN" w:bidi="ar"/>
        </w:rPr>
        <w:t>发布日期：2014-12-29 09:32 浏览次数：6次 字体：[</w:t>
      </w:r>
      <w:r>
        <w:rPr>
          <w:rFonts w:hint="eastAsia" w:ascii="微软雅黑" w:hAnsi="微软雅黑" w:eastAsia="微软雅黑" w:cs="微软雅黑"/>
          <w:i w:val="0"/>
          <w:caps w:val="0"/>
          <w:color w:val="333333"/>
          <w:spacing w:val="0"/>
          <w:kern w:val="0"/>
          <w:sz w:val="22"/>
          <w:szCs w:val="22"/>
          <w:u w:val="none"/>
          <w:bdr w:val="none" w:color="auto" w:sz="0" w:space="0"/>
          <w:lang w:val="en-US" w:eastAsia="zh-CN" w:bidi="ar"/>
        </w:rPr>
        <w:fldChar w:fldCharType="begin"/>
      </w:r>
      <w:r>
        <w:rPr>
          <w:rFonts w:hint="eastAsia" w:ascii="微软雅黑" w:hAnsi="微软雅黑" w:eastAsia="微软雅黑" w:cs="微软雅黑"/>
          <w:i w:val="0"/>
          <w:caps w:val="0"/>
          <w:color w:val="333333"/>
          <w:spacing w:val="0"/>
          <w:kern w:val="0"/>
          <w:sz w:val="22"/>
          <w:szCs w:val="22"/>
          <w:u w:val="none"/>
          <w:bdr w:val="none" w:color="auto" w:sz="0" w:space="0"/>
          <w:lang w:val="en-US" w:eastAsia="zh-CN" w:bidi="ar"/>
        </w:rPr>
        <w:instrText xml:space="preserve"> HYPERLINK "http://www.jingjiang.gov.cn/art/2014/12/29/javascript:doZoom(18)" </w:instrText>
      </w:r>
      <w:r>
        <w:rPr>
          <w:rFonts w:hint="eastAsia" w:ascii="微软雅黑" w:hAnsi="微软雅黑" w:eastAsia="微软雅黑" w:cs="微软雅黑"/>
          <w:i w:val="0"/>
          <w:caps w:val="0"/>
          <w:color w:val="333333"/>
          <w:spacing w:val="0"/>
          <w:kern w:val="0"/>
          <w:sz w:val="22"/>
          <w:szCs w:val="22"/>
          <w:u w:val="none"/>
          <w:bdr w:val="none" w:color="auto" w:sz="0" w:space="0"/>
          <w:lang w:val="en-US" w:eastAsia="zh-CN" w:bidi="ar"/>
        </w:rPr>
        <w:fldChar w:fldCharType="separate"/>
      </w:r>
      <w:r>
        <w:rPr>
          <w:rStyle w:val="4"/>
          <w:rFonts w:hint="eastAsia" w:ascii="微软雅黑" w:hAnsi="微软雅黑" w:eastAsia="微软雅黑" w:cs="微软雅黑"/>
          <w:i w:val="0"/>
          <w:caps w:val="0"/>
          <w:color w:val="333333"/>
          <w:spacing w:val="0"/>
          <w:sz w:val="22"/>
          <w:szCs w:val="22"/>
          <w:u w:val="none"/>
          <w:bdr w:val="none" w:color="auto" w:sz="0" w:space="0"/>
        </w:rPr>
        <w:t>大</w:t>
      </w:r>
      <w:r>
        <w:rPr>
          <w:rFonts w:hint="eastAsia" w:ascii="微软雅黑" w:hAnsi="微软雅黑" w:eastAsia="微软雅黑" w:cs="微软雅黑"/>
          <w:i w:val="0"/>
          <w:caps w:val="0"/>
          <w:color w:val="333333"/>
          <w:spacing w:val="0"/>
          <w:kern w:val="0"/>
          <w:sz w:val="22"/>
          <w:szCs w:val="22"/>
          <w:u w:val="none"/>
          <w:bdr w:val="none" w:color="auto" w:sz="0" w:space="0"/>
          <w:lang w:val="en-US" w:eastAsia="zh-CN" w:bidi="ar"/>
        </w:rPr>
        <w:fldChar w:fldCharType="end"/>
      </w:r>
      <w:r>
        <w:rPr>
          <w:rFonts w:hint="eastAsia" w:ascii="微软雅黑" w:hAnsi="微软雅黑" w:eastAsia="微软雅黑" w:cs="微软雅黑"/>
          <w:i w:val="0"/>
          <w:caps w:val="0"/>
          <w:color w:val="333333"/>
          <w:spacing w:val="0"/>
          <w:kern w:val="0"/>
          <w:sz w:val="22"/>
          <w:szCs w:val="22"/>
          <w:bdr w:val="none" w:color="auto" w:sz="0" w:space="0"/>
          <w:lang w:val="en-US" w:eastAsia="zh-CN" w:bidi="ar"/>
        </w:rPr>
        <w:t> </w:t>
      </w:r>
      <w:r>
        <w:rPr>
          <w:rFonts w:hint="eastAsia" w:ascii="微软雅黑" w:hAnsi="微软雅黑" w:eastAsia="微软雅黑" w:cs="微软雅黑"/>
          <w:i w:val="0"/>
          <w:caps w:val="0"/>
          <w:color w:val="333333"/>
          <w:spacing w:val="0"/>
          <w:kern w:val="0"/>
          <w:sz w:val="22"/>
          <w:szCs w:val="22"/>
          <w:u w:val="none"/>
          <w:bdr w:val="none" w:color="auto" w:sz="0" w:space="0"/>
          <w:lang w:val="en-US" w:eastAsia="zh-CN" w:bidi="ar"/>
        </w:rPr>
        <w:fldChar w:fldCharType="begin"/>
      </w:r>
      <w:r>
        <w:rPr>
          <w:rFonts w:hint="eastAsia" w:ascii="微软雅黑" w:hAnsi="微软雅黑" w:eastAsia="微软雅黑" w:cs="微软雅黑"/>
          <w:i w:val="0"/>
          <w:caps w:val="0"/>
          <w:color w:val="333333"/>
          <w:spacing w:val="0"/>
          <w:kern w:val="0"/>
          <w:sz w:val="22"/>
          <w:szCs w:val="22"/>
          <w:u w:val="none"/>
          <w:bdr w:val="none" w:color="auto" w:sz="0" w:space="0"/>
          <w:lang w:val="en-US" w:eastAsia="zh-CN" w:bidi="ar"/>
        </w:rPr>
        <w:instrText xml:space="preserve"> HYPERLINK "http://www.jingjiang.gov.cn/art/2014/12/29/javascript:doZoom(16)" </w:instrText>
      </w:r>
      <w:r>
        <w:rPr>
          <w:rFonts w:hint="eastAsia" w:ascii="微软雅黑" w:hAnsi="微软雅黑" w:eastAsia="微软雅黑" w:cs="微软雅黑"/>
          <w:i w:val="0"/>
          <w:caps w:val="0"/>
          <w:color w:val="333333"/>
          <w:spacing w:val="0"/>
          <w:kern w:val="0"/>
          <w:sz w:val="22"/>
          <w:szCs w:val="22"/>
          <w:u w:val="none"/>
          <w:bdr w:val="none" w:color="auto" w:sz="0" w:space="0"/>
          <w:lang w:val="en-US" w:eastAsia="zh-CN" w:bidi="ar"/>
        </w:rPr>
        <w:fldChar w:fldCharType="separate"/>
      </w:r>
      <w:r>
        <w:rPr>
          <w:rStyle w:val="4"/>
          <w:rFonts w:hint="eastAsia" w:ascii="微软雅黑" w:hAnsi="微软雅黑" w:eastAsia="微软雅黑" w:cs="微软雅黑"/>
          <w:i w:val="0"/>
          <w:caps w:val="0"/>
          <w:color w:val="333333"/>
          <w:spacing w:val="0"/>
          <w:sz w:val="22"/>
          <w:szCs w:val="22"/>
          <w:u w:val="none"/>
          <w:bdr w:val="none" w:color="auto" w:sz="0" w:space="0"/>
        </w:rPr>
        <w:t>中</w:t>
      </w:r>
      <w:r>
        <w:rPr>
          <w:rFonts w:hint="eastAsia" w:ascii="微软雅黑" w:hAnsi="微软雅黑" w:eastAsia="微软雅黑" w:cs="微软雅黑"/>
          <w:i w:val="0"/>
          <w:caps w:val="0"/>
          <w:color w:val="333333"/>
          <w:spacing w:val="0"/>
          <w:kern w:val="0"/>
          <w:sz w:val="22"/>
          <w:szCs w:val="22"/>
          <w:u w:val="none"/>
          <w:bdr w:val="none" w:color="auto" w:sz="0" w:space="0"/>
          <w:lang w:val="en-US" w:eastAsia="zh-CN" w:bidi="ar"/>
        </w:rPr>
        <w:fldChar w:fldCharType="end"/>
      </w:r>
      <w:r>
        <w:rPr>
          <w:rFonts w:hint="eastAsia" w:ascii="微软雅黑" w:hAnsi="微软雅黑" w:eastAsia="微软雅黑" w:cs="微软雅黑"/>
          <w:i w:val="0"/>
          <w:caps w:val="0"/>
          <w:color w:val="333333"/>
          <w:spacing w:val="0"/>
          <w:kern w:val="0"/>
          <w:sz w:val="22"/>
          <w:szCs w:val="22"/>
          <w:bdr w:val="none" w:color="auto" w:sz="0" w:space="0"/>
          <w:lang w:val="en-US" w:eastAsia="zh-CN" w:bidi="ar"/>
        </w:rPr>
        <w:t> </w:t>
      </w:r>
      <w:r>
        <w:rPr>
          <w:rFonts w:hint="eastAsia" w:ascii="微软雅黑" w:hAnsi="微软雅黑" w:eastAsia="微软雅黑" w:cs="微软雅黑"/>
          <w:i w:val="0"/>
          <w:caps w:val="0"/>
          <w:color w:val="333333"/>
          <w:spacing w:val="0"/>
          <w:kern w:val="0"/>
          <w:sz w:val="22"/>
          <w:szCs w:val="22"/>
          <w:u w:val="none"/>
          <w:bdr w:val="none" w:color="auto" w:sz="0" w:space="0"/>
          <w:lang w:val="en-US" w:eastAsia="zh-CN" w:bidi="ar"/>
        </w:rPr>
        <w:fldChar w:fldCharType="begin"/>
      </w:r>
      <w:r>
        <w:rPr>
          <w:rFonts w:hint="eastAsia" w:ascii="微软雅黑" w:hAnsi="微软雅黑" w:eastAsia="微软雅黑" w:cs="微软雅黑"/>
          <w:i w:val="0"/>
          <w:caps w:val="0"/>
          <w:color w:val="333333"/>
          <w:spacing w:val="0"/>
          <w:kern w:val="0"/>
          <w:sz w:val="22"/>
          <w:szCs w:val="22"/>
          <w:u w:val="none"/>
          <w:bdr w:val="none" w:color="auto" w:sz="0" w:space="0"/>
          <w:lang w:val="en-US" w:eastAsia="zh-CN" w:bidi="ar"/>
        </w:rPr>
        <w:instrText xml:space="preserve"> HYPERLINK "http://www.jingjiang.gov.cn/art/2014/12/29/javascript:doZoom(14)" </w:instrText>
      </w:r>
      <w:r>
        <w:rPr>
          <w:rFonts w:hint="eastAsia" w:ascii="微软雅黑" w:hAnsi="微软雅黑" w:eastAsia="微软雅黑" w:cs="微软雅黑"/>
          <w:i w:val="0"/>
          <w:caps w:val="0"/>
          <w:color w:val="333333"/>
          <w:spacing w:val="0"/>
          <w:kern w:val="0"/>
          <w:sz w:val="22"/>
          <w:szCs w:val="22"/>
          <w:u w:val="none"/>
          <w:bdr w:val="none" w:color="auto" w:sz="0" w:space="0"/>
          <w:lang w:val="en-US" w:eastAsia="zh-CN" w:bidi="ar"/>
        </w:rPr>
        <w:fldChar w:fldCharType="separate"/>
      </w:r>
      <w:r>
        <w:rPr>
          <w:rStyle w:val="4"/>
          <w:rFonts w:hint="eastAsia" w:ascii="微软雅黑" w:hAnsi="微软雅黑" w:eastAsia="微软雅黑" w:cs="微软雅黑"/>
          <w:i w:val="0"/>
          <w:caps w:val="0"/>
          <w:color w:val="333333"/>
          <w:spacing w:val="0"/>
          <w:sz w:val="22"/>
          <w:szCs w:val="22"/>
          <w:u w:val="none"/>
          <w:bdr w:val="none" w:color="auto" w:sz="0" w:space="0"/>
        </w:rPr>
        <w:t>小</w:t>
      </w:r>
      <w:r>
        <w:rPr>
          <w:rFonts w:hint="eastAsia" w:ascii="微软雅黑" w:hAnsi="微软雅黑" w:eastAsia="微软雅黑" w:cs="微软雅黑"/>
          <w:i w:val="0"/>
          <w:caps w:val="0"/>
          <w:color w:val="333333"/>
          <w:spacing w:val="0"/>
          <w:kern w:val="0"/>
          <w:sz w:val="22"/>
          <w:szCs w:val="22"/>
          <w:u w:val="none"/>
          <w:bdr w:val="none" w:color="auto" w:sz="0" w:space="0"/>
          <w:lang w:val="en-US" w:eastAsia="zh-CN" w:bidi="ar"/>
        </w:rPr>
        <w:fldChar w:fldCharType="end"/>
      </w:r>
      <w:r>
        <w:rPr>
          <w:rFonts w:hint="eastAsia" w:ascii="微软雅黑" w:hAnsi="微软雅黑" w:eastAsia="微软雅黑" w:cs="微软雅黑"/>
          <w:i w:val="0"/>
          <w:caps w:val="0"/>
          <w:color w:val="333333"/>
          <w:spacing w:val="0"/>
          <w:kern w:val="0"/>
          <w:sz w:val="22"/>
          <w:szCs w:val="22"/>
          <w:bdr w:val="none" w:color="auto" w:sz="0" w:space="0"/>
          <w:lang w:val="en-US" w:eastAsia="zh-CN" w:bidi="ar"/>
        </w:rPr>
        <w:t>]</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420"/>
        <w:jc w:val="left"/>
        <w:rPr>
          <w:rFonts w:hint="eastAsia" w:ascii="微软雅黑" w:hAnsi="微软雅黑" w:eastAsia="微软雅黑" w:cs="微软雅黑"/>
          <w:color w:val="333333"/>
          <w:sz w:val="22"/>
          <w:szCs w:val="22"/>
        </w:rPr>
      </w:pPr>
      <w:r>
        <w:rPr>
          <w:rFonts w:hint="eastAsia" w:ascii="微软雅黑" w:hAnsi="微软雅黑" w:eastAsia="微软雅黑" w:cs="微软雅黑"/>
          <w:i w:val="0"/>
          <w:caps w:val="0"/>
          <w:color w:val="333333"/>
          <w:spacing w:val="0"/>
          <w:sz w:val="32"/>
          <w:szCs w:val="32"/>
          <w:bdr w:val="none" w:color="auto" w:sz="0" w:space="0"/>
        </w:rPr>
        <w:t>各镇（街道、园区、办事处）党（工）委、人民政府（办事处），开发区党工委（管委会），市委各部门，市各委、办、局（公司），市各直属单位：</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0"/>
        <w:jc w:val="left"/>
        <w:rPr>
          <w:rFonts w:hint="eastAsia" w:ascii="微软雅黑" w:hAnsi="微软雅黑" w:eastAsia="微软雅黑" w:cs="微软雅黑"/>
          <w:color w:val="333333"/>
          <w:sz w:val="22"/>
          <w:szCs w:val="22"/>
        </w:rPr>
      </w:pPr>
      <w:r>
        <w:rPr>
          <w:rFonts w:hint="eastAsia" w:ascii="微软雅黑" w:hAnsi="微软雅黑" w:eastAsia="微软雅黑" w:cs="微软雅黑"/>
          <w:i w:val="0"/>
          <w:caps w:val="0"/>
          <w:color w:val="333333"/>
          <w:spacing w:val="0"/>
          <w:sz w:val="32"/>
          <w:szCs w:val="32"/>
          <w:bdr w:val="none" w:color="auto" w:sz="0" w:space="0"/>
        </w:rPr>
        <w:t>为全面强化科技创新工作，充分发挥科技在经济社会发展中的重要作用，进一步推进产业转型升级，促进经济社会又好又快发展，结合我市实际，制订如下实施意见。</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0"/>
        <w:jc w:val="left"/>
        <w:rPr>
          <w:rFonts w:hint="eastAsia" w:ascii="微软雅黑" w:hAnsi="微软雅黑" w:eastAsia="微软雅黑" w:cs="微软雅黑"/>
          <w:color w:val="333333"/>
          <w:sz w:val="22"/>
          <w:szCs w:val="22"/>
        </w:rPr>
      </w:pPr>
      <w:r>
        <w:rPr>
          <w:rFonts w:hint="eastAsia" w:ascii="微软雅黑" w:hAnsi="微软雅黑" w:eastAsia="微软雅黑" w:cs="微软雅黑"/>
          <w:i w:val="0"/>
          <w:caps w:val="0"/>
          <w:color w:val="333333"/>
          <w:spacing w:val="0"/>
          <w:sz w:val="32"/>
          <w:szCs w:val="32"/>
          <w:bdr w:val="none" w:color="auto" w:sz="0" w:space="0"/>
        </w:rPr>
        <w:t>一、总体要求</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0"/>
        <w:jc w:val="left"/>
        <w:rPr>
          <w:rFonts w:hint="eastAsia" w:ascii="微软雅黑" w:hAnsi="微软雅黑" w:eastAsia="微软雅黑" w:cs="微软雅黑"/>
          <w:color w:val="333333"/>
          <w:sz w:val="22"/>
          <w:szCs w:val="22"/>
        </w:rPr>
      </w:pPr>
      <w:r>
        <w:rPr>
          <w:rFonts w:hint="eastAsia" w:ascii="微软雅黑" w:hAnsi="微软雅黑" w:eastAsia="微软雅黑" w:cs="微软雅黑"/>
          <w:i w:val="0"/>
          <w:caps w:val="0"/>
          <w:color w:val="333333"/>
          <w:spacing w:val="0"/>
          <w:sz w:val="32"/>
          <w:szCs w:val="32"/>
          <w:bdr w:val="none" w:color="auto" w:sz="0" w:space="0"/>
        </w:rPr>
        <w:t>深入贯彻落实党的十八大和十八届三中全会精神，按照“合作创新、加强转化、重点突破、引领发展”的思路，以加快经济发展方式转变为主线，完善科技创新体制机制和政策环境，充分发挥政府引导作用，强化企业主体地位，深化“政产学研金”合作，提升企业自主创新能力，推进科技成果转化及产业化，大幅提高科技进步对经济增长的贡献率，为全市经济社会发展提供科技支撑。</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0"/>
        <w:jc w:val="left"/>
        <w:rPr>
          <w:rFonts w:hint="eastAsia" w:ascii="微软雅黑" w:hAnsi="微软雅黑" w:eastAsia="微软雅黑" w:cs="微软雅黑"/>
          <w:color w:val="333333"/>
          <w:sz w:val="22"/>
          <w:szCs w:val="22"/>
        </w:rPr>
      </w:pPr>
      <w:r>
        <w:rPr>
          <w:rFonts w:hint="eastAsia" w:ascii="微软雅黑" w:hAnsi="微软雅黑" w:eastAsia="微软雅黑" w:cs="微软雅黑"/>
          <w:i w:val="0"/>
          <w:caps w:val="0"/>
          <w:color w:val="333333"/>
          <w:spacing w:val="0"/>
          <w:sz w:val="32"/>
          <w:szCs w:val="32"/>
          <w:bdr w:val="none" w:color="auto" w:sz="0" w:space="0"/>
        </w:rPr>
        <w:t>二、主要目标</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0"/>
        <w:jc w:val="left"/>
        <w:rPr>
          <w:rFonts w:hint="eastAsia" w:ascii="微软雅黑" w:hAnsi="微软雅黑" w:eastAsia="微软雅黑" w:cs="微软雅黑"/>
          <w:color w:val="333333"/>
          <w:sz w:val="22"/>
          <w:szCs w:val="22"/>
        </w:rPr>
      </w:pPr>
      <w:r>
        <w:rPr>
          <w:rFonts w:hint="eastAsia" w:ascii="微软雅黑" w:hAnsi="微软雅黑" w:eastAsia="微软雅黑" w:cs="微软雅黑"/>
          <w:i w:val="0"/>
          <w:caps w:val="0"/>
          <w:color w:val="333333"/>
          <w:spacing w:val="0"/>
          <w:sz w:val="32"/>
          <w:szCs w:val="32"/>
          <w:bdr w:val="none" w:color="auto" w:sz="0" w:space="0"/>
        </w:rPr>
        <w:t>进一步完善与新型工业化、城镇化、农业现代化发展相适应的科技创新体系，建立多元化科技投入机制，改善科技发展基础条件，壮大科技人才和团队，突破重点领域和重点产业关键技术，科技创新、成果转化应用能力明显提升。到2016年，实现以下目标：</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0"/>
        <w:jc w:val="left"/>
        <w:rPr>
          <w:rFonts w:hint="eastAsia" w:ascii="微软雅黑" w:hAnsi="微软雅黑" w:eastAsia="微软雅黑" w:cs="微软雅黑"/>
          <w:color w:val="333333"/>
          <w:sz w:val="22"/>
          <w:szCs w:val="22"/>
        </w:rPr>
      </w:pPr>
      <w:r>
        <w:rPr>
          <w:rFonts w:hint="eastAsia" w:ascii="微软雅黑" w:hAnsi="微软雅黑" w:eastAsia="微软雅黑" w:cs="微软雅黑"/>
          <w:i w:val="0"/>
          <w:caps w:val="0"/>
          <w:color w:val="333333"/>
          <w:spacing w:val="0"/>
          <w:sz w:val="32"/>
          <w:szCs w:val="32"/>
          <w:bdr w:val="none" w:color="auto" w:sz="0" w:space="0"/>
        </w:rPr>
        <w:t>（一）高新技术产业化水平进一步提高。全市高新技术产业增速高于规模工业产值增速，高新技术企业总数达到100家，高新技术产业占规模工业产值比重达38%。</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0"/>
        <w:jc w:val="left"/>
        <w:rPr>
          <w:rFonts w:hint="eastAsia" w:ascii="微软雅黑" w:hAnsi="微软雅黑" w:eastAsia="微软雅黑" w:cs="微软雅黑"/>
          <w:color w:val="333333"/>
          <w:sz w:val="22"/>
          <w:szCs w:val="22"/>
        </w:rPr>
      </w:pPr>
      <w:r>
        <w:rPr>
          <w:rFonts w:hint="eastAsia" w:ascii="微软雅黑" w:hAnsi="微软雅黑" w:eastAsia="微软雅黑" w:cs="微软雅黑"/>
          <w:i w:val="0"/>
          <w:caps w:val="0"/>
          <w:color w:val="333333"/>
          <w:spacing w:val="0"/>
          <w:sz w:val="32"/>
          <w:szCs w:val="32"/>
          <w:bdr w:val="none" w:color="auto" w:sz="0" w:space="0"/>
        </w:rPr>
        <w:t>（二）企业创新能力进一步增强。深入推进“政产学研金”合作，以企业为主体的多层次、多形式产学研合作更加深入；知识产权工作快速推进，全市万人发明专利拥有量达6.1件。</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0"/>
        <w:jc w:val="left"/>
        <w:rPr>
          <w:rFonts w:hint="eastAsia" w:ascii="微软雅黑" w:hAnsi="微软雅黑" w:eastAsia="微软雅黑" w:cs="微软雅黑"/>
          <w:color w:val="333333"/>
          <w:sz w:val="22"/>
          <w:szCs w:val="22"/>
        </w:rPr>
      </w:pPr>
      <w:r>
        <w:rPr>
          <w:rFonts w:hint="eastAsia" w:ascii="微软雅黑" w:hAnsi="微软雅黑" w:eastAsia="微软雅黑" w:cs="微软雅黑"/>
          <w:i w:val="0"/>
          <w:caps w:val="0"/>
          <w:color w:val="333333"/>
          <w:spacing w:val="0"/>
          <w:sz w:val="32"/>
          <w:szCs w:val="32"/>
          <w:bdr w:val="none" w:color="auto" w:sz="0" w:space="0"/>
        </w:rPr>
        <w:t>（三）科技创新体系建设进一步健全。产业技术研究院建成运行，规模以上工业企业研发机构全覆盖，科技园区和科技孵化器建设取得明显进展,全市研发经费（R&amp;D）投入占GDP的比重达2.5%。</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0"/>
        <w:jc w:val="left"/>
        <w:rPr>
          <w:rFonts w:hint="eastAsia" w:ascii="微软雅黑" w:hAnsi="微软雅黑" w:eastAsia="微软雅黑" w:cs="微软雅黑"/>
          <w:color w:val="333333"/>
          <w:sz w:val="22"/>
          <w:szCs w:val="22"/>
        </w:rPr>
      </w:pPr>
      <w:r>
        <w:rPr>
          <w:rFonts w:hint="eastAsia" w:ascii="微软雅黑" w:hAnsi="微软雅黑" w:eastAsia="微软雅黑" w:cs="微软雅黑"/>
          <w:i w:val="0"/>
          <w:caps w:val="0"/>
          <w:color w:val="333333"/>
          <w:spacing w:val="0"/>
          <w:sz w:val="32"/>
          <w:szCs w:val="32"/>
          <w:bdr w:val="none" w:color="auto" w:sz="0" w:space="0"/>
        </w:rPr>
        <w:t>三、具体举措</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0"/>
        <w:jc w:val="left"/>
        <w:rPr>
          <w:rFonts w:hint="eastAsia" w:ascii="微软雅黑" w:hAnsi="微软雅黑" w:eastAsia="微软雅黑" w:cs="微软雅黑"/>
          <w:color w:val="333333"/>
          <w:sz w:val="22"/>
          <w:szCs w:val="22"/>
        </w:rPr>
      </w:pPr>
      <w:r>
        <w:rPr>
          <w:rFonts w:hint="eastAsia" w:ascii="微软雅黑" w:hAnsi="微软雅黑" w:eastAsia="微软雅黑" w:cs="微软雅黑"/>
          <w:i w:val="0"/>
          <w:caps w:val="0"/>
          <w:color w:val="333333"/>
          <w:spacing w:val="0"/>
          <w:sz w:val="32"/>
          <w:szCs w:val="32"/>
          <w:bdr w:val="none" w:color="auto" w:sz="0" w:space="0"/>
        </w:rPr>
        <w:t>（一）加快推进高新技术和新兴产业发展。</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0"/>
        <w:jc w:val="left"/>
        <w:rPr>
          <w:rFonts w:hint="eastAsia" w:ascii="微软雅黑" w:hAnsi="微软雅黑" w:eastAsia="微软雅黑" w:cs="微软雅黑"/>
          <w:color w:val="333333"/>
          <w:sz w:val="22"/>
          <w:szCs w:val="22"/>
        </w:rPr>
      </w:pPr>
      <w:r>
        <w:rPr>
          <w:rFonts w:hint="eastAsia" w:ascii="微软雅黑" w:hAnsi="微软雅黑" w:eastAsia="微软雅黑" w:cs="微软雅黑"/>
          <w:i w:val="0"/>
          <w:caps w:val="0"/>
          <w:color w:val="333333"/>
          <w:spacing w:val="0"/>
          <w:sz w:val="32"/>
          <w:szCs w:val="32"/>
          <w:bdr w:val="none" w:color="auto" w:sz="0" w:space="0"/>
        </w:rPr>
        <w:t>1.鼓励争创高新技术企业。加大政策宣传推广和指导服务，鼓励更多的企业争创高新技术企业。对通过科技部、财政部和国家税务总局共同认定的高新技术企业，减按15%的税率征收企业所得税。对高新技术企业申报科技项目，给予优先推荐和立项支持。</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0"/>
        <w:jc w:val="left"/>
        <w:rPr>
          <w:rFonts w:hint="eastAsia" w:ascii="微软雅黑" w:hAnsi="微软雅黑" w:eastAsia="微软雅黑" w:cs="微软雅黑"/>
          <w:color w:val="333333"/>
          <w:sz w:val="22"/>
          <w:szCs w:val="22"/>
        </w:rPr>
      </w:pPr>
      <w:r>
        <w:rPr>
          <w:rFonts w:hint="eastAsia" w:ascii="微软雅黑" w:hAnsi="微软雅黑" w:eastAsia="微软雅黑" w:cs="微软雅黑"/>
          <w:i w:val="0"/>
          <w:caps w:val="0"/>
          <w:color w:val="333333"/>
          <w:spacing w:val="0"/>
          <w:sz w:val="32"/>
          <w:szCs w:val="32"/>
          <w:bdr w:val="none" w:color="auto" w:sz="0" w:space="0"/>
        </w:rPr>
        <w:t>2.加快发展战略性、支柱型新兴产业。采取“一事一议”的办法，对引进落户的战略性、支柱型新兴产业，在土地等要素供给上给予优先安排，专项资金给予重点支持。</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0"/>
        <w:jc w:val="left"/>
        <w:rPr>
          <w:rFonts w:hint="eastAsia" w:ascii="微软雅黑" w:hAnsi="微软雅黑" w:eastAsia="微软雅黑" w:cs="微软雅黑"/>
          <w:color w:val="333333"/>
          <w:sz w:val="22"/>
          <w:szCs w:val="22"/>
        </w:rPr>
      </w:pPr>
      <w:r>
        <w:rPr>
          <w:rFonts w:hint="eastAsia" w:ascii="微软雅黑" w:hAnsi="微软雅黑" w:eastAsia="微软雅黑" w:cs="微软雅黑"/>
          <w:i w:val="0"/>
          <w:caps w:val="0"/>
          <w:color w:val="333333"/>
          <w:spacing w:val="0"/>
          <w:sz w:val="32"/>
          <w:szCs w:val="32"/>
          <w:bdr w:val="none" w:color="auto" w:sz="0" w:space="0"/>
        </w:rPr>
        <w:t>3.加大金融支持力度。引导鼓励金融机构对高新技术企业加大信贷投放；有条件地在融资担保等方面提供支持。</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0"/>
        <w:jc w:val="left"/>
        <w:rPr>
          <w:rFonts w:hint="eastAsia" w:ascii="微软雅黑" w:hAnsi="微软雅黑" w:eastAsia="微软雅黑" w:cs="微软雅黑"/>
          <w:color w:val="333333"/>
          <w:sz w:val="22"/>
          <w:szCs w:val="22"/>
        </w:rPr>
      </w:pPr>
      <w:r>
        <w:rPr>
          <w:rFonts w:hint="eastAsia" w:ascii="微软雅黑" w:hAnsi="微软雅黑" w:eastAsia="微软雅黑" w:cs="微软雅黑"/>
          <w:i w:val="0"/>
          <w:caps w:val="0"/>
          <w:color w:val="333333"/>
          <w:spacing w:val="0"/>
          <w:sz w:val="32"/>
          <w:szCs w:val="32"/>
          <w:bdr w:val="none" w:color="auto" w:sz="0" w:space="0"/>
        </w:rPr>
        <w:t>4.积极实施科技创新项目。对承担国家级火炬、星火计划项目的企业，当年给予10万元奖励。对开发省级以上重点新产品、高新技术产品项目，且当年实现开票销售1000万元以上，一次性奖励10万元。对承担国家863、973等重大科技创新项目以及中小企业创新基金、科技成果转化专项资金、支撑计划等项目的企业，按获得的项目经费酌情给予一定的配套资助。</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0"/>
        <w:jc w:val="left"/>
        <w:rPr>
          <w:rFonts w:hint="eastAsia" w:ascii="微软雅黑" w:hAnsi="微软雅黑" w:eastAsia="微软雅黑" w:cs="微软雅黑"/>
          <w:color w:val="333333"/>
          <w:sz w:val="22"/>
          <w:szCs w:val="22"/>
        </w:rPr>
      </w:pPr>
      <w:r>
        <w:rPr>
          <w:rFonts w:hint="eastAsia" w:ascii="微软雅黑" w:hAnsi="微软雅黑" w:eastAsia="微软雅黑" w:cs="微软雅黑"/>
          <w:i w:val="0"/>
          <w:caps w:val="0"/>
          <w:color w:val="333333"/>
          <w:spacing w:val="0"/>
          <w:sz w:val="32"/>
          <w:szCs w:val="32"/>
          <w:bdr w:val="none" w:color="auto" w:sz="0" w:space="0"/>
        </w:rPr>
        <w:t>（二）完善提升科技创新体系。</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0"/>
        <w:jc w:val="left"/>
        <w:rPr>
          <w:rFonts w:hint="eastAsia" w:ascii="微软雅黑" w:hAnsi="微软雅黑" w:eastAsia="微软雅黑" w:cs="微软雅黑"/>
          <w:color w:val="333333"/>
          <w:sz w:val="22"/>
          <w:szCs w:val="22"/>
        </w:rPr>
      </w:pPr>
      <w:r>
        <w:rPr>
          <w:rFonts w:hint="eastAsia" w:ascii="微软雅黑" w:hAnsi="微软雅黑" w:eastAsia="微软雅黑" w:cs="微软雅黑"/>
          <w:i w:val="0"/>
          <w:caps w:val="0"/>
          <w:color w:val="333333"/>
          <w:spacing w:val="0"/>
          <w:sz w:val="32"/>
          <w:szCs w:val="32"/>
          <w:bdr w:val="none" w:color="auto" w:sz="0" w:space="0"/>
        </w:rPr>
        <w:t>1.加快科技创新平台建设。加快组建产业技术研究院，积极引进外部科技资源，依托中科院和高等院校的力量，整合资源、有机协作，形成以产业技术研究院和产业基地为核心，以创业服务中心、科技企业孵化器为支撑，产权交易、创业资本、中介服务等要素为纽带的区域科技创新体系。鼓励行业骨干企业牵头建立产学研战略联盟，对建成省级以上产业技术创新联盟的实体一次性给予50万元的资助。加大科技创新平台建设力度，对与高校院所合作共建的省级以上认定的重大创新载体和科技公共服务平台一次性给予50万元的资助。</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0"/>
        <w:jc w:val="left"/>
        <w:rPr>
          <w:rFonts w:hint="eastAsia" w:ascii="微软雅黑" w:hAnsi="微软雅黑" w:eastAsia="微软雅黑" w:cs="微软雅黑"/>
          <w:color w:val="333333"/>
          <w:sz w:val="22"/>
          <w:szCs w:val="22"/>
        </w:rPr>
      </w:pPr>
      <w:r>
        <w:rPr>
          <w:rFonts w:hint="eastAsia" w:ascii="微软雅黑" w:hAnsi="微软雅黑" w:eastAsia="微软雅黑" w:cs="微软雅黑"/>
          <w:i w:val="0"/>
          <w:caps w:val="0"/>
          <w:color w:val="333333"/>
          <w:spacing w:val="0"/>
          <w:sz w:val="32"/>
          <w:szCs w:val="32"/>
          <w:bdr w:val="none" w:color="auto" w:sz="0" w:space="0"/>
        </w:rPr>
        <w:t>2.鼓励企业建设研发机构。对新认定为工程技术研究中心、企业技术中心、工程中心、工业设计中心、重点实验室的企业，当年按国家级、省级分别奖励50万元、20万元；对新认定为国家级博士后科研工作站和省级院士工作站的企业，当年奖励50万元；对新认定为省级博士后创新实践基地、外资研发机构的企业，当年奖励20万元。</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0"/>
        <w:jc w:val="left"/>
        <w:rPr>
          <w:rFonts w:hint="eastAsia" w:ascii="微软雅黑" w:hAnsi="微软雅黑" w:eastAsia="微软雅黑" w:cs="微软雅黑"/>
          <w:color w:val="333333"/>
          <w:sz w:val="22"/>
          <w:szCs w:val="22"/>
        </w:rPr>
      </w:pPr>
      <w:r>
        <w:rPr>
          <w:rFonts w:hint="eastAsia" w:ascii="微软雅黑" w:hAnsi="微软雅黑" w:eastAsia="微软雅黑" w:cs="微软雅黑"/>
          <w:i w:val="0"/>
          <w:caps w:val="0"/>
          <w:color w:val="333333"/>
          <w:spacing w:val="0"/>
          <w:sz w:val="32"/>
          <w:szCs w:val="32"/>
          <w:bdr w:val="none" w:color="auto" w:sz="0" w:space="0"/>
        </w:rPr>
        <w:t>3.推进科技企业孵化器建设。紧紧围绕产业发展方向，鼓励社会资本投资创办科技企业孵化器，对认定的国家级、省级科技企业孵化器，除享受国家和省规定的税收优惠政策外，分别给予100万元和50万元的补助。对科技企业孵化器内高成长性企业申报科技项目，给予优先推荐和立项支持。</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0"/>
        <w:jc w:val="left"/>
        <w:rPr>
          <w:rFonts w:hint="eastAsia" w:ascii="微软雅黑" w:hAnsi="微软雅黑" w:eastAsia="微软雅黑" w:cs="微软雅黑"/>
          <w:color w:val="333333"/>
          <w:sz w:val="22"/>
          <w:szCs w:val="22"/>
        </w:rPr>
      </w:pPr>
      <w:r>
        <w:rPr>
          <w:rFonts w:hint="eastAsia" w:ascii="微软雅黑" w:hAnsi="微软雅黑" w:eastAsia="微软雅黑" w:cs="微软雅黑"/>
          <w:i w:val="0"/>
          <w:caps w:val="0"/>
          <w:color w:val="333333"/>
          <w:spacing w:val="0"/>
          <w:sz w:val="32"/>
          <w:szCs w:val="32"/>
          <w:bdr w:val="none" w:color="auto" w:sz="0" w:space="0"/>
        </w:rPr>
        <w:t>4.加快科技园区建设。鼓励各镇、开发区发挥优势，建设特色产业基地、科技产业园和高新技术产业开发区，通过国家级、省级认定的，分别给予50万元和20万元一次性奖励。</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0"/>
        <w:jc w:val="left"/>
        <w:rPr>
          <w:rFonts w:hint="eastAsia" w:ascii="微软雅黑" w:hAnsi="微软雅黑" w:eastAsia="微软雅黑" w:cs="微软雅黑"/>
          <w:color w:val="333333"/>
          <w:sz w:val="22"/>
          <w:szCs w:val="22"/>
        </w:rPr>
      </w:pPr>
      <w:r>
        <w:rPr>
          <w:rFonts w:hint="eastAsia" w:ascii="微软雅黑" w:hAnsi="微软雅黑" w:eastAsia="微软雅黑" w:cs="微软雅黑"/>
          <w:i w:val="0"/>
          <w:caps w:val="0"/>
          <w:color w:val="333333"/>
          <w:spacing w:val="0"/>
          <w:sz w:val="32"/>
          <w:szCs w:val="32"/>
          <w:bdr w:val="none" w:color="auto" w:sz="0" w:space="0"/>
        </w:rPr>
        <w:t>5.鼓励科技风险投资。逐步建立科技金融风险补偿资金，加快发展以天使投资资金和天使投资引导资金为主要形式的风险投资，引导、支持创业投资投向科技型中小微企业。建立科技保险补偿资金，鼓励和支持保险机构创新科技保险品种和服务，分担分散科技型中小微企业创新发展的风险。</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0"/>
        <w:jc w:val="left"/>
        <w:rPr>
          <w:rFonts w:hint="eastAsia" w:ascii="微软雅黑" w:hAnsi="微软雅黑" w:eastAsia="微软雅黑" w:cs="微软雅黑"/>
          <w:color w:val="333333"/>
          <w:sz w:val="22"/>
          <w:szCs w:val="22"/>
        </w:rPr>
      </w:pPr>
      <w:r>
        <w:rPr>
          <w:rFonts w:hint="eastAsia" w:ascii="微软雅黑" w:hAnsi="微软雅黑" w:eastAsia="微软雅黑" w:cs="微软雅黑"/>
          <w:i w:val="0"/>
          <w:caps w:val="0"/>
          <w:color w:val="333333"/>
          <w:spacing w:val="0"/>
          <w:sz w:val="32"/>
          <w:szCs w:val="32"/>
          <w:bdr w:val="none" w:color="auto" w:sz="0" w:space="0"/>
        </w:rPr>
        <w:t>（三）加大知识产权保护力度。</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0"/>
        <w:jc w:val="left"/>
        <w:rPr>
          <w:rFonts w:hint="eastAsia" w:ascii="微软雅黑" w:hAnsi="微软雅黑" w:eastAsia="微软雅黑" w:cs="微软雅黑"/>
          <w:color w:val="333333"/>
          <w:sz w:val="22"/>
          <w:szCs w:val="22"/>
        </w:rPr>
      </w:pPr>
      <w:r>
        <w:rPr>
          <w:rFonts w:hint="eastAsia" w:ascii="微软雅黑" w:hAnsi="微软雅黑" w:eastAsia="微软雅黑" w:cs="微软雅黑"/>
          <w:i w:val="0"/>
          <w:caps w:val="0"/>
          <w:color w:val="333333"/>
          <w:spacing w:val="0"/>
          <w:sz w:val="32"/>
          <w:szCs w:val="32"/>
          <w:bdr w:val="none" w:color="auto" w:sz="0" w:space="0"/>
        </w:rPr>
        <w:t>1.加强自主知识产权创新、保护及应用。开展知识产权专项保护行动，全面提高企业的知识产权创造、运用、保护和管理的意识及能力。强化科技创新的知识产权导向，对申请专利的企业事业单位或个人给予资助，对知识产权示范企业及专利实施产业化项目按规定给予补助，对国家和省专利金奖、专利优秀奖的产品给予补助奖励。加强知识产权信息的分析利用，开展知识产权战略研究和预警工作，实行重大科技项目知识产权特别审查机制，对具有自主知识产权的产业化项目给予优先立项，促进知识产权运用。加大知识产权的保护，健全维权援助机制，帮助市场主体依法应对知识产权侵权纠纷。鼓励创建知识产权中介服务机构，引导企业、行业建立知识产权维权联盟，推动市场主体特别是中小企业依法维权。</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0"/>
        <w:jc w:val="left"/>
        <w:rPr>
          <w:rFonts w:hint="eastAsia" w:ascii="微软雅黑" w:hAnsi="微软雅黑" w:eastAsia="微软雅黑" w:cs="微软雅黑"/>
          <w:color w:val="333333"/>
          <w:sz w:val="22"/>
          <w:szCs w:val="22"/>
        </w:rPr>
      </w:pPr>
      <w:r>
        <w:rPr>
          <w:rFonts w:hint="eastAsia" w:ascii="微软雅黑" w:hAnsi="微软雅黑" w:eastAsia="微软雅黑" w:cs="微软雅黑"/>
          <w:i w:val="0"/>
          <w:caps w:val="0"/>
          <w:color w:val="333333"/>
          <w:spacing w:val="0"/>
          <w:sz w:val="32"/>
          <w:szCs w:val="32"/>
          <w:bdr w:val="none" w:color="auto" w:sz="0" w:space="0"/>
        </w:rPr>
        <w:t>2.加大知识产权优势企业培育力度。通过加强战略研究、政策引导，完善体制机制，推进专利示范企业创建工程，培育知识产权优势明显、自主创新能力和市场竞争力较强的企业，壮大自主知识产权产品和产业。</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0"/>
        <w:jc w:val="left"/>
        <w:rPr>
          <w:rFonts w:hint="eastAsia" w:ascii="微软雅黑" w:hAnsi="微软雅黑" w:eastAsia="微软雅黑" w:cs="微软雅黑"/>
          <w:color w:val="333333"/>
          <w:sz w:val="22"/>
          <w:szCs w:val="22"/>
        </w:rPr>
      </w:pPr>
      <w:r>
        <w:rPr>
          <w:rFonts w:hint="eastAsia" w:ascii="微软雅黑" w:hAnsi="微软雅黑" w:eastAsia="微软雅黑" w:cs="微软雅黑"/>
          <w:i w:val="0"/>
          <w:caps w:val="0"/>
          <w:color w:val="333333"/>
          <w:spacing w:val="0"/>
          <w:sz w:val="32"/>
          <w:szCs w:val="32"/>
          <w:bdr w:val="none" w:color="auto" w:sz="0" w:space="0"/>
        </w:rPr>
        <w:t>3.加大对专利发明的资助力度和奖励额度。开展发明专利攻坚行动，更加注重奖励资助发明专利授权，当年授权的发明专利，每件给予8000元奖励；当年授权的国际专利，每件给予2万元奖励；发明专利当年进入实质审查阶段达20件及以上的专利大户，奖励2万元。当年发明专利授权量达3件及以上的，每件追加奖励2000元；当年发明专利授权量达10件及以上的，每件追加奖励5000元。提高专利授权数量，年专利授权量达到30件及以上的，奖励5000元；年专利授权量达到50件及以上的，奖励1.5万元；年专利授权量达到100件及以上的，奖励3万元。提升专利申请质量，当年度获得国家、省专利项目奖的项目予以奖励，获得国家专利金奖、国家专利优秀奖的，分别给予10万元、5万元的奖励；获得省专利金奖、省专利优秀奖的，分别给予6万元、3万元的奖励。当年度通过省知识产权管理标准化建设合格的企业，获得贯标合格的企业奖励3万元。具体按照《靖江市专利专项资金管理办法》（靖政规〔2014〕3号）执行。</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0"/>
        <w:jc w:val="left"/>
        <w:rPr>
          <w:rFonts w:hint="eastAsia" w:ascii="微软雅黑" w:hAnsi="微软雅黑" w:eastAsia="微软雅黑" w:cs="微软雅黑"/>
          <w:color w:val="333333"/>
          <w:sz w:val="22"/>
          <w:szCs w:val="22"/>
        </w:rPr>
      </w:pPr>
      <w:r>
        <w:rPr>
          <w:rFonts w:hint="eastAsia" w:ascii="微软雅黑" w:hAnsi="微软雅黑" w:eastAsia="微软雅黑" w:cs="微软雅黑"/>
          <w:i w:val="0"/>
          <w:caps w:val="0"/>
          <w:color w:val="333333"/>
          <w:spacing w:val="0"/>
          <w:sz w:val="32"/>
          <w:szCs w:val="32"/>
          <w:bdr w:val="none" w:color="auto" w:sz="0" w:space="0"/>
        </w:rPr>
        <w:t>（四）加强高效农业产业化工作。</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0"/>
        <w:jc w:val="left"/>
        <w:rPr>
          <w:rFonts w:hint="eastAsia" w:ascii="微软雅黑" w:hAnsi="微软雅黑" w:eastAsia="微软雅黑" w:cs="微软雅黑"/>
          <w:color w:val="333333"/>
          <w:sz w:val="22"/>
          <w:szCs w:val="22"/>
        </w:rPr>
      </w:pPr>
      <w:r>
        <w:rPr>
          <w:rFonts w:hint="eastAsia" w:ascii="微软雅黑" w:hAnsi="微软雅黑" w:eastAsia="微软雅黑" w:cs="微软雅黑"/>
          <w:i w:val="0"/>
          <w:caps w:val="0"/>
          <w:color w:val="333333"/>
          <w:spacing w:val="0"/>
          <w:sz w:val="32"/>
          <w:szCs w:val="32"/>
          <w:bdr w:val="none" w:color="auto" w:sz="0" w:space="0"/>
        </w:rPr>
        <w:t>1.加快建设现代农业科技示范园。围绕农业新兴产业、高新技术产业的培育，突出生物技术、信息技术、现代设施工厂化农业技术和生态循环农业模式等现代农业高新技术集成创新与转化应用，培育一批投资实力强、科技创新能力强、带动能力强等示范性企业，在产业发展和农民增收等方面发挥示范带动作用。加快现代农业科技示范园建设，获得省级认定的，给予一次性奖励50万元；经认定的现代农业科技示范园申报市科技项目给予优先立项。</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0"/>
        <w:jc w:val="left"/>
        <w:rPr>
          <w:rFonts w:hint="eastAsia" w:ascii="微软雅黑" w:hAnsi="微软雅黑" w:eastAsia="微软雅黑" w:cs="微软雅黑"/>
          <w:color w:val="333333"/>
          <w:sz w:val="22"/>
          <w:szCs w:val="22"/>
        </w:rPr>
      </w:pPr>
      <w:r>
        <w:rPr>
          <w:rFonts w:hint="eastAsia" w:ascii="微软雅黑" w:hAnsi="微软雅黑" w:eastAsia="微软雅黑" w:cs="微软雅黑"/>
          <w:i w:val="0"/>
          <w:caps w:val="0"/>
          <w:color w:val="333333"/>
          <w:spacing w:val="0"/>
          <w:sz w:val="32"/>
          <w:szCs w:val="32"/>
          <w:bdr w:val="none" w:color="auto" w:sz="0" w:space="0"/>
        </w:rPr>
        <w:t>2.大力培植农业科技型企业。鼓励企业与技术依托单位建立长期稳定的合作关系，增强技术创新能力，做大企业规模。每年重点培育具有自主知识产权、年销售收入达到3000万元以上的农业科技型企业1-2家。获得省级认定的，给予一次性奖励10万元。对经认定的农业科技型企业申报市科技项目给予优先立项。</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0"/>
        <w:jc w:val="left"/>
        <w:rPr>
          <w:rFonts w:hint="eastAsia" w:ascii="微软雅黑" w:hAnsi="微软雅黑" w:eastAsia="微软雅黑" w:cs="微软雅黑"/>
          <w:color w:val="333333"/>
          <w:sz w:val="22"/>
          <w:szCs w:val="22"/>
        </w:rPr>
      </w:pPr>
      <w:r>
        <w:rPr>
          <w:rFonts w:hint="eastAsia" w:ascii="微软雅黑" w:hAnsi="微软雅黑" w:eastAsia="微软雅黑" w:cs="微软雅黑"/>
          <w:i w:val="0"/>
          <w:caps w:val="0"/>
          <w:color w:val="333333"/>
          <w:spacing w:val="0"/>
          <w:sz w:val="32"/>
          <w:szCs w:val="32"/>
          <w:bdr w:val="none" w:color="auto" w:sz="0" w:space="0"/>
        </w:rPr>
        <w:t>3.鼓励建立科技型农业专业合作社。发挥科技对农业特色产业培育和农村经济发展的支撑作用，引领农业专业合作社依靠科技谋发展，带动农民致富。每年重点培育2-3家科技型农业专业合作社。获得省级认定的，给予一次性奖励5万元。对经认定的科技型农业专业合作社申报市科技项目给予优先立项。</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0"/>
        <w:jc w:val="left"/>
        <w:rPr>
          <w:rFonts w:hint="eastAsia" w:ascii="微软雅黑" w:hAnsi="微软雅黑" w:eastAsia="微软雅黑" w:cs="微软雅黑"/>
          <w:color w:val="333333"/>
          <w:sz w:val="22"/>
          <w:szCs w:val="22"/>
        </w:rPr>
      </w:pPr>
      <w:r>
        <w:rPr>
          <w:rFonts w:hint="eastAsia" w:ascii="微软雅黑" w:hAnsi="微软雅黑" w:eastAsia="微软雅黑" w:cs="微软雅黑"/>
          <w:i w:val="0"/>
          <w:caps w:val="0"/>
          <w:color w:val="333333"/>
          <w:spacing w:val="0"/>
          <w:sz w:val="32"/>
          <w:szCs w:val="32"/>
          <w:bdr w:val="none" w:color="auto" w:sz="0" w:space="0"/>
        </w:rPr>
        <w:t>4.鼓励建立农村科技服务超市。围绕农业优势特色产业创新发展和农民增收，以政府引导、市场运作为主导，整合农业科技服务资源，构建高效的农村科技服务体系。重点培育1-2个科技服务超市，获得省级认定的科技服务超市在省、市（县级）奖励不重复的情况下，一次性奖励10万元，申报市科技项目给予优先立项。</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0"/>
        <w:jc w:val="left"/>
        <w:rPr>
          <w:rFonts w:hint="eastAsia" w:ascii="微软雅黑" w:hAnsi="微软雅黑" w:eastAsia="微软雅黑" w:cs="微软雅黑"/>
          <w:color w:val="333333"/>
          <w:sz w:val="22"/>
          <w:szCs w:val="22"/>
        </w:rPr>
      </w:pPr>
      <w:r>
        <w:rPr>
          <w:rFonts w:hint="eastAsia" w:ascii="微软雅黑" w:hAnsi="微软雅黑" w:eastAsia="微软雅黑" w:cs="微软雅黑"/>
          <w:i w:val="0"/>
          <w:caps w:val="0"/>
          <w:color w:val="333333"/>
          <w:spacing w:val="0"/>
          <w:sz w:val="32"/>
          <w:szCs w:val="32"/>
          <w:bdr w:val="none" w:color="auto" w:sz="0" w:space="0"/>
        </w:rPr>
        <w:t>（五）加快引进培养创新人才。</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0"/>
        <w:jc w:val="left"/>
        <w:rPr>
          <w:rFonts w:hint="eastAsia" w:ascii="微软雅黑" w:hAnsi="微软雅黑" w:eastAsia="微软雅黑" w:cs="微软雅黑"/>
          <w:color w:val="333333"/>
          <w:sz w:val="22"/>
          <w:szCs w:val="22"/>
        </w:rPr>
      </w:pPr>
      <w:r>
        <w:rPr>
          <w:rFonts w:hint="eastAsia" w:ascii="微软雅黑" w:hAnsi="微软雅黑" w:eastAsia="微软雅黑" w:cs="微软雅黑"/>
          <w:i w:val="0"/>
          <w:caps w:val="0"/>
          <w:color w:val="333333"/>
          <w:spacing w:val="0"/>
          <w:sz w:val="32"/>
          <w:szCs w:val="32"/>
          <w:bdr w:val="none" w:color="auto" w:sz="0" w:space="0"/>
        </w:rPr>
        <w:t>深入实施人才强市战略，围绕我市沿江产业和高新技术新兴产业的发展，进一步加大优秀人才引进、培养和使用力度，努力探索以人才推进科技创新、以科技创新引领转型升级之路，具体按照市委市政府《关于实施“马洲英才计划”推进转型升级的意见》（靖发〔2013〕36号）和市有关人才政策执行。</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0"/>
        <w:jc w:val="left"/>
        <w:rPr>
          <w:rFonts w:hint="eastAsia" w:ascii="微软雅黑" w:hAnsi="微软雅黑" w:eastAsia="微软雅黑" w:cs="微软雅黑"/>
          <w:color w:val="333333"/>
          <w:sz w:val="22"/>
          <w:szCs w:val="22"/>
        </w:rPr>
      </w:pPr>
      <w:r>
        <w:rPr>
          <w:rFonts w:hint="eastAsia" w:ascii="微软雅黑" w:hAnsi="微软雅黑" w:eastAsia="微软雅黑" w:cs="微软雅黑"/>
          <w:i w:val="0"/>
          <w:caps w:val="0"/>
          <w:color w:val="333333"/>
          <w:spacing w:val="0"/>
          <w:sz w:val="32"/>
          <w:szCs w:val="32"/>
          <w:bdr w:val="none" w:color="auto" w:sz="0" w:space="0"/>
        </w:rPr>
        <w:t>四、保障措施</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0"/>
        <w:jc w:val="left"/>
        <w:rPr>
          <w:rFonts w:hint="eastAsia" w:ascii="微软雅黑" w:hAnsi="微软雅黑" w:eastAsia="微软雅黑" w:cs="微软雅黑"/>
          <w:color w:val="333333"/>
          <w:sz w:val="22"/>
          <w:szCs w:val="22"/>
        </w:rPr>
      </w:pPr>
      <w:r>
        <w:rPr>
          <w:rFonts w:hint="eastAsia" w:ascii="微软雅黑" w:hAnsi="微软雅黑" w:eastAsia="微软雅黑" w:cs="微软雅黑"/>
          <w:i w:val="0"/>
          <w:caps w:val="0"/>
          <w:color w:val="333333"/>
          <w:spacing w:val="0"/>
          <w:sz w:val="32"/>
          <w:szCs w:val="32"/>
          <w:bdr w:val="none" w:color="auto" w:sz="0" w:space="0"/>
        </w:rPr>
        <w:t>（一）强化组织领导。各部门、各镇（街道、园区、办事处）要切实承担起强化科技创新、推进转型升级的主体责任，坚持从全局和战略的高度，把科技创新工作摆在更加突出的位置，列入重要议事日程，主要负责人要坚持“一把手抓第一生产力”，亲自谋划、主动推进，加快形成政府主导、部门协调的组织领导体制和工作推进机制。</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0"/>
        <w:jc w:val="left"/>
        <w:rPr>
          <w:rFonts w:hint="eastAsia" w:ascii="微软雅黑" w:hAnsi="微软雅黑" w:eastAsia="微软雅黑" w:cs="微软雅黑"/>
          <w:color w:val="333333"/>
          <w:sz w:val="22"/>
          <w:szCs w:val="22"/>
        </w:rPr>
      </w:pPr>
      <w:r>
        <w:rPr>
          <w:rFonts w:hint="eastAsia" w:ascii="微软雅黑" w:hAnsi="微软雅黑" w:eastAsia="微软雅黑" w:cs="微软雅黑"/>
          <w:i w:val="0"/>
          <w:caps w:val="0"/>
          <w:color w:val="333333"/>
          <w:spacing w:val="0"/>
          <w:sz w:val="32"/>
          <w:szCs w:val="32"/>
          <w:bdr w:val="none" w:color="auto" w:sz="0" w:space="0"/>
        </w:rPr>
        <w:t>（二）强化目标考核。优化完善科技创新工作考核体系，将重要指标纳入领导班子年度实绩考核内容，强化目标责任，实施绩效考核，扎实有效地推进科技创新工作的深入开展。对推动科技创新、促进转型升级成绩突出的镇（街道、园区、办事处）和相关部门给予表彰。</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0"/>
        <w:jc w:val="left"/>
        <w:rPr>
          <w:rFonts w:hint="eastAsia" w:ascii="微软雅黑" w:hAnsi="微软雅黑" w:eastAsia="微软雅黑" w:cs="微软雅黑"/>
          <w:color w:val="333333"/>
          <w:sz w:val="22"/>
          <w:szCs w:val="22"/>
        </w:rPr>
      </w:pPr>
      <w:r>
        <w:rPr>
          <w:rFonts w:hint="eastAsia" w:ascii="微软雅黑" w:hAnsi="微软雅黑" w:eastAsia="微软雅黑" w:cs="微软雅黑"/>
          <w:i w:val="0"/>
          <w:caps w:val="0"/>
          <w:color w:val="333333"/>
          <w:spacing w:val="0"/>
          <w:sz w:val="32"/>
          <w:szCs w:val="32"/>
          <w:bdr w:val="none" w:color="auto" w:sz="0" w:space="0"/>
        </w:rPr>
        <w:t>（三）强化创新导向。认真落实国家和省、市推动科技创新的各项优惠政策，各镇（街道、园区、办事处）要尽快制订本地区鼓励科技创新、推动转型升级的具体配套扶持政策，创新手段、优化服务，确保各项政策落到实处、取得实效。鼓励引导企业加大创新投入，强化财政支持政策的创新导向。加大对科技创新的宣传力度，大力弘扬创新精神，培育创新文化，提升全社会创新意识，营造鼓励创新、宽容失败的良好氛围。</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0"/>
        <w:jc w:val="left"/>
        <w:rPr>
          <w:rFonts w:hint="eastAsia" w:ascii="微软雅黑" w:hAnsi="微软雅黑" w:eastAsia="微软雅黑" w:cs="微软雅黑"/>
          <w:color w:val="333333"/>
          <w:sz w:val="22"/>
          <w:szCs w:val="22"/>
        </w:rPr>
      </w:pPr>
      <w:r>
        <w:rPr>
          <w:rFonts w:hint="eastAsia" w:ascii="微软雅黑" w:hAnsi="微软雅黑" w:eastAsia="微软雅黑" w:cs="微软雅黑"/>
          <w:i w:val="0"/>
          <w:caps w:val="0"/>
          <w:color w:val="333333"/>
          <w:spacing w:val="0"/>
          <w:sz w:val="32"/>
          <w:szCs w:val="32"/>
          <w:bdr w:val="none" w:color="auto" w:sz="0" w:space="0"/>
        </w:rPr>
        <w:t>五、附则</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0"/>
        <w:jc w:val="left"/>
        <w:rPr>
          <w:rFonts w:hint="eastAsia" w:ascii="微软雅黑" w:hAnsi="微软雅黑" w:eastAsia="微软雅黑" w:cs="微软雅黑"/>
          <w:color w:val="333333"/>
          <w:sz w:val="22"/>
          <w:szCs w:val="22"/>
        </w:rPr>
      </w:pPr>
      <w:r>
        <w:rPr>
          <w:rFonts w:hint="eastAsia" w:ascii="微软雅黑" w:hAnsi="微软雅黑" w:eastAsia="微软雅黑" w:cs="微软雅黑"/>
          <w:i w:val="0"/>
          <w:caps w:val="0"/>
          <w:color w:val="333333"/>
          <w:spacing w:val="0"/>
          <w:sz w:val="32"/>
          <w:szCs w:val="32"/>
          <w:bdr w:val="none" w:color="auto" w:sz="0" w:space="0"/>
        </w:rPr>
        <w:t>1.本意见相关政策的落实，由市各主管部门审核，提出方案后报市政府批准，由市财政拨付资金。市科技经费使用按照靖政规〔2013〕22号执行。</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0"/>
        <w:jc w:val="left"/>
        <w:rPr>
          <w:rFonts w:hint="eastAsia" w:ascii="微软雅黑" w:hAnsi="微软雅黑" w:eastAsia="微软雅黑" w:cs="微软雅黑"/>
          <w:color w:val="333333"/>
          <w:sz w:val="22"/>
          <w:szCs w:val="22"/>
        </w:rPr>
      </w:pPr>
      <w:r>
        <w:rPr>
          <w:rFonts w:hint="eastAsia" w:ascii="微软雅黑" w:hAnsi="微软雅黑" w:eastAsia="微软雅黑" w:cs="微软雅黑"/>
          <w:i w:val="0"/>
          <w:caps w:val="0"/>
          <w:color w:val="333333"/>
          <w:spacing w:val="0"/>
          <w:sz w:val="32"/>
          <w:szCs w:val="32"/>
          <w:bdr w:val="none" w:color="auto" w:sz="0" w:space="0"/>
        </w:rPr>
        <w:t>2.同一项目只能享受一项政策，不得重复享受不同类型的奖励，可享受其中的最高补助标准。</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0"/>
        <w:jc w:val="left"/>
        <w:rPr>
          <w:rFonts w:hint="eastAsia" w:ascii="微软雅黑" w:hAnsi="微软雅黑" w:eastAsia="微软雅黑" w:cs="微软雅黑"/>
          <w:color w:val="333333"/>
          <w:sz w:val="22"/>
          <w:szCs w:val="22"/>
        </w:rPr>
      </w:pPr>
      <w:r>
        <w:rPr>
          <w:rFonts w:hint="eastAsia" w:ascii="微软雅黑" w:hAnsi="微软雅黑" w:eastAsia="微软雅黑" w:cs="微软雅黑"/>
          <w:i w:val="0"/>
          <w:caps w:val="0"/>
          <w:color w:val="333333"/>
          <w:spacing w:val="0"/>
          <w:sz w:val="32"/>
          <w:szCs w:val="32"/>
          <w:bdr w:val="none" w:color="auto" w:sz="0" w:space="0"/>
        </w:rPr>
        <w:t>3.本意见由市科技局和财政局负责解释。原鼓励科技创新的相关政策与本文件不一致的，以本文件为准。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0"/>
        <w:jc w:val="left"/>
        <w:rPr>
          <w:rFonts w:hint="eastAsia" w:ascii="微软雅黑" w:hAnsi="微软雅黑" w:eastAsia="微软雅黑" w:cs="微软雅黑"/>
          <w:color w:val="333333"/>
          <w:sz w:val="22"/>
          <w:szCs w:val="22"/>
        </w:rPr>
      </w:pPr>
      <w:r>
        <w:rPr>
          <w:rFonts w:hint="eastAsia" w:ascii="微软雅黑" w:hAnsi="微软雅黑" w:eastAsia="微软雅黑" w:cs="微软雅黑"/>
          <w:i w:val="0"/>
          <w:caps w:val="0"/>
          <w:color w:val="333333"/>
          <w:spacing w:val="0"/>
          <w:sz w:val="32"/>
          <w:szCs w:val="32"/>
          <w:bdr w:val="none" w:color="auto" w:sz="0" w:space="0"/>
        </w:rPr>
        <w:t>4.本意见自公布之日起实行。</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0"/>
        <w:jc w:val="left"/>
        <w:rPr>
          <w:rFonts w:hint="eastAsia" w:ascii="微软雅黑" w:hAnsi="微软雅黑" w:eastAsia="微软雅黑" w:cs="微软雅黑"/>
          <w:color w:val="333333"/>
          <w:sz w:val="22"/>
          <w:szCs w:val="22"/>
        </w:rPr>
      </w:pPr>
      <w:r>
        <w:rPr>
          <w:rFonts w:hint="eastAsia" w:ascii="微软雅黑" w:hAnsi="微软雅黑" w:eastAsia="微软雅黑" w:cs="微软雅黑"/>
          <w:i w:val="0"/>
          <w:caps w:val="0"/>
          <w:color w:val="333333"/>
          <w:spacing w:val="0"/>
          <w:sz w:val="32"/>
          <w:szCs w:val="32"/>
          <w:bdr w:val="none" w:color="auto" w:sz="0" w:space="0"/>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0"/>
        <w:jc w:val="left"/>
        <w:rPr>
          <w:rFonts w:hint="eastAsia" w:ascii="微软雅黑" w:hAnsi="微软雅黑" w:eastAsia="微软雅黑" w:cs="微软雅黑"/>
          <w:color w:val="333333"/>
          <w:sz w:val="22"/>
          <w:szCs w:val="22"/>
        </w:rPr>
      </w:pPr>
      <w:r>
        <w:rPr>
          <w:rFonts w:hint="eastAsia" w:ascii="微软雅黑" w:hAnsi="微软雅黑" w:eastAsia="微软雅黑" w:cs="微软雅黑"/>
          <w:i w:val="0"/>
          <w:caps w:val="0"/>
          <w:color w:val="333333"/>
          <w:spacing w:val="0"/>
          <w:sz w:val="32"/>
          <w:szCs w:val="32"/>
          <w:bdr w:val="none" w:color="auto" w:sz="0" w:space="0"/>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0"/>
        <w:jc w:val="left"/>
        <w:rPr>
          <w:rFonts w:hint="eastAsia" w:ascii="微软雅黑" w:hAnsi="微软雅黑" w:eastAsia="微软雅黑" w:cs="微软雅黑"/>
          <w:color w:val="333333"/>
          <w:sz w:val="22"/>
          <w:szCs w:val="22"/>
        </w:rPr>
      </w:pPr>
      <w:r>
        <w:rPr>
          <w:rFonts w:hint="eastAsia" w:ascii="微软雅黑" w:hAnsi="微软雅黑" w:eastAsia="微软雅黑" w:cs="微软雅黑"/>
          <w:i w:val="0"/>
          <w:caps w:val="0"/>
          <w:color w:val="333333"/>
          <w:spacing w:val="0"/>
          <w:sz w:val="32"/>
          <w:szCs w:val="32"/>
          <w:bdr w:val="none" w:color="auto" w:sz="0" w:space="0"/>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0"/>
        <w:jc w:val="left"/>
        <w:rPr>
          <w:rFonts w:hint="eastAsia" w:ascii="微软雅黑" w:hAnsi="微软雅黑" w:eastAsia="微软雅黑" w:cs="微软雅黑"/>
          <w:color w:val="333333"/>
          <w:sz w:val="22"/>
          <w:szCs w:val="22"/>
        </w:rPr>
      </w:pPr>
      <w:r>
        <w:rPr>
          <w:rFonts w:hint="eastAsia" w:ascii="微软雅黑" w:hAnsi="微软雅黑" w:eastAsia="微软雅黑" w:cs="微软雅黑"/>
          <w:i w:val="0"/>
          <w:caps w:val="0"/>
          <w:color w:val="333333"/>
          <w:spacing w:val="0"/>
          <w:sz w:val="32"/>
          <w:szCs w:val="32"/>
          <w:bdr w:val="none" w:color="auto" w:sz="0" w:space="0"/>
        </w:rPr>
        <w:t>         中共靖江市委员会     靖江市人民政府</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0"/>
        <w:jc w:val="left"/>
        <w:rPr>
          <w:rFonts w:hint="eastAsia" w:ascii="微软雅黑" w:hAnsi="微软雅黑" w:eastAsia="微软雅黑" w:cs="微软雅黑"/>
          <w:color w:val="333333"/>
          <w:sz w:val="22"/>
          <w:szCs w:val="22"/>
        </w:rPr>
      </w:pPr>
      <w:r>
        <w:rPr>
          <w:rFonts w:hint="eastAsia" w:ascii="微软雅黑" w:hAnsi="微软雅黑" w:eastAsia="微软雅黑" w:cs="微软雅黑"/>
          <w:i w:val="0"/>
          <w:caps w:val="0"/>
          <w:color w:val="333333"/>
          <w:spacing w:val="0"/>
          <w:sz w:val="32"/>
          <w:szCs w:val="32"/>
          <w:bdr w:val="none" w:color="auto" w:sz="0" w:space="0"/>
        </w:rPr>
        <w:t>                              2014年5月5日</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CF3C52" w:usb2="00000016" w:usb3="00000000" w:csb0="0004001F" w:csb1="00000000"/>
  </w:font>
  <w:font w:nam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方正小标宋_GBK">
    <w:altName w:val="Arial Unicode MS"/>
    <w:panose1 w:val="00000000000000000000"/>
    <w:charset w:val="00"/>
    <w:family w:val="auto"/>
    <w:pitch w:val="default"/>
    <w:sig w:usb0="00000000" w:usb1="00000000" w:usb2="00000000" w:usb3="00000000" w:csb0="00000000" w:csb1="00000000"/>
  </w:font>
  <w:font w:name="Arial Unicode MS">
    <w:panose1 w:val="020B0604020202020204"/>
    <w:charset w:val="86"/>
    <w:family w:val="auto"/>
    <w:pitch w:val="default"/>
    <w:sig w:usb0="FFFFFFFF" w:usb1="E9FFFFFF" w:usb2="0000003F" w:usb3="00000000" w:csb0="603F01FF" w:csb1="FFFF0000"/>
  </w:font>
  <w:font w:name="方正仿宋_GBK">
    <w:altName w:val="Arial Unicode MS"/>
    <w:panose1 w:val="00000000000000000000"/>
    <w:charset w:val="00"/>
    <w:family w:val="auto"/>
    <w:pitch w:val="default"/>
    <w:sig w:usb0="00000000" w:usb1="00000000" w:usb2="00000000" w:usb3="00000000" w:csb0="00000000" w:csb1="00000000"/>
  </w:font>
  <w:font w:name="楷体_GB2312">
    <w:altName w:val="楷体"/>
    <w:panose1 w:val="00000000000000000000"/>
    <w:charset w:val="00"/>
    <w:family w:val="auto"/>
    <w:pitch w:val="default"/>
    <w:sig w:usb0="00000000" w:usb1="00000000" w:usb2="00000000" w:usb3="00000000" w:csb0="00000000" w:csb1="00000000"/>
  </w:font>
  <w:font w:name="楷体">
    <w:panose1 w:val="02010609060101010101"/>
    <w:charset w:val="86"/>
    <w:family w:val="auto"/>
    <w:pitch w:val="default"/>
    <w:sig w:usb0="800002BF" w:usb1="38CF7CFA" w:usb2="00000016" w:usb3="00000000" w:csb0="00040001" w:csb1="00000000"/>
  </w:font>
  <w:font w:name="方正楷体_GBK">
    <w:altName w:val="Arial Unicode MS"/>
    <w:panose1 w:val="00000000000000000000"/>
    <w:charset w:val="00"/>
    <w:family w:val="auto"/>
    <w:pitch w:val="default"/>
    <w:sig w:usb0="00000000" w:usb1="00000000" w:usb2="00000000" w:usb3="00000000" w:csb0="00000000" w:csb1="00000000"/>
  </w:font>
  <w:font w:name="方正黑体_GBK">
    <w:altName w:val="Arial Unicode MS"/>
    <w:panose1 w:val="00000000000000000000"/>
    <w:charset w:val="00"/>
    <w:family w:val="auto"/>
    <w:pitch w:val="default"/>
    <w:sig w:usb0="00000000" w:usb1="00000000" w:usb2="00000000" w:usb3="00000000" w:csb0="00000000" w:csb1="00000000"/>
  </w:font>
  <w:font w:name="仿宋_GB2312">
    <w:altName w:val="仿宋"/>
    <w:panose1 w:val="00000000000000000000"/>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attachedTemplate r:id="rId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9E64C9E"/>
    <w:rsid w:val="33550276"/>
    <w:rsid w:val="34FD4B2F"/>
    <w:rsid w:val="437D2D20"/>
    <w:rsid w:val="49E64C9E"/>
    <w:rsid w:val="58DC50BA"/>
    <w:rsid w:val="61096501"/>
    <w:rsid w:val="63161748"/>
    <w:rsid w:val="688A1BA9"/>
    <w:rsid w:val="6C4E23FD"/>
    <w:rsid w:val="6D53502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5">
    <w:name w:val="Normal Table"/>
    <w:semiHidden/>
    <w:uiPriority w:val="0"/>
    <w:tblPr>
      <w:tblLayout w:type="fixed"/>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 w:type="character" w:styleId="4">
    <w:name w:val="Hyperlink"/>
    <w:basedOn w:val="3"/>
    <w:uiPriority w:val="0"/>
    <w:rPr>
      <w:color w:val="0000FF"/>
      <w:u w:val="singl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AppData\Roaming\Kingsoft\wps\addons\pool\win-i386\knewfileruby_1.0.0.10\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0.docx</Template>
  <Pages>1</Pages>
  <Words>0</Words>
  <Characters>0</Characters>
  <Lines>0</Lines>
  <Paragraphs>0</Paragraphs>
  <TotalTime>104</TotalTime>
  <ScaleCrop>false</ScaleCrop>
  <LinksUpToDate>false</LinksUpToDate>
  <CharactersWithSpaces>0</CharactersWithSpaces>
  <Application>WPS Office_10.1.0.7400_F1E327BC-269C-435d-A152-05C5408002CA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2018-07-10T06:27:00Z</dcterms:created>
  <dc:creator>栾晓琴</dc:creator>
  <cp:lastModifiedBy>栾晓琴</cp:lastModifiedBy>
  <dcterms:modified xsi:type="dcterms:W3CDTF">2018-07-10T08:13:31Z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2052-10.1.0.7400</vt:lpwstr>
  </property>
</Properties>
</file>