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7B6" w:rsidRPr="00E727B6" w:rsidRDefault="00E727B6" w:rsidP="00E727B6">
      <w:pPr>
        <w:widowControl/>
        <w:numPr>
          <w:ilvl w:val="0"/>
          <w:numId w:val="1"/>
        </w:numPr>
        <w:shd w:val="clear" w:color="auto" w:fill="FFFFFF"/>
        <w:spacing w:line="540" w:lineRule="atLeast"/>
        <w:ind w:left="600"/>
        <w:jc w:val="center"/>
        <w:rPr>
          <w:rFonts w:ascii="宋体" w:eastAsia="宋体" w:hAnsi="宋体" w:cs="宋体"/>
          <w:b/>
          <w:bCs/>
          <w:color w:val="333333"/>
          <w:kern w:val="0"/>
          <w:sz w:val="36"/>
          <w:szCs w:val="36"/>
        </w:rPr>
      </w:pPr>
      <w:bookmarkStart w:id="0" w:name="_GoBack"/>
      <w:r w:rsidRPr="00E727B6">
        <w:rPr>
          <w:rFonts w:ascii="宋体" w:eastAsia="宋体" w:hAnsi="宋体" w:cs="宋体" w:hint="eastAsia"/>
          <w:b/>
          <w:bCs/>
          <w:color w:val="333333"/>
          <w:kern w:val="0"/>
          <w:sz w:val="36"/>
          <w:szCs w:val="36"/>
        </w:rPr>
        <w:t>铜鼓县招商引资政策若干规定</w:t>
      </w:r>
    </w:p>
    <w:bookmarkEnd w:id="0"/>
    <w:p w:rsidR="00E727B6" w:rsidRPr="00E727B6" w:rsidRDefault="00E727B6" w:rsidP="00E727B6">
      <w:pPr>
        <w:widowControl/>
        <w:numPr>
          <w:ilvl w:val="0"/>
          <w:numId w:val="1"/>
        </w:numPr>
        <w:shd w:val="clear" w:color="auto" w:fill="FFFFFF"/>
        <w:spacing w:line="513" w:lineRule="atLeast"/>
        <w:ind w:left="675" w:right="675"/>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27"/>
          <w:szCs w:val="27"/>
        </w:rPr>
        <w:t xml:space="preserve">　　</w:t>
      </w:r>
    </w:p>
    <w:p w:rsidR="00E727B6" w:rsidRPr="00E727B6" w:rsidRDefault="00E727B6" w:rsidP="00E727B6">
      <w:pPr>
        <w:widowControl/>
        <w:shd w:val="clear" w:color="auto" w:fill="FFFFFF"/>
        <w:spacing w:line="640" w:lineRule="atLeast"/>
        <w:ind w:left="675" w:right="675"/>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为鼓励外来</w:t>
      </w:r>
      <w:hyperlink r:id="rId5" w:tgtFrame="_blank" w:history="1">
        <w:r w:rsidRPr="00E727B6">
          <w:rPr>
            <w:rFonts w:ascii="宋体" w:eastAsia="宋体" w:hAnsi="宋体" w:cs="宋体" w:hint="eastAsia"/>
            <w:color w:val="363636"/>
            <w:kern w:val="0"/>
            <w:sz w:val="32"/>
            <w:szCs w:val="32"/>
          </w:rPr>
          <w:t>投资</w:t>
        </w:r>
      </w:hyperlink>
      <w:r w:rsidRPr="00E727B6">
        <w:rPr>
          <w:rFonts w:ascii="宋体" w:eastAsia="宋体" w:hAnsi="宋体" w:cs="宋体" w:hint="eastAsia"/>
          <w:color w:val="333333"/>
          <w:kern w:val="0"/>
          <w:sz w:val="32"/>
          <w:szCs w:val="32"/>
        </w:rPr>
        <w:t>，促进本地经济发展，根据有关法律法规和政策规定，结合我县实际，制定本规定。</w:t>
      </w:r>
    </w:p>
    <w:p w:rsidR="00E727B6" w:rsidRPr="00E727B6" w:rsidRDefault="00E727B6" w:rsidP="00E727B6">
      <w:pPr>
        <w:widowControl/>
        <w:shd w:val="clear" w:color="auto" w:fill="FFFFFF"/>
        <w:spacing w:line="64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一、立足择</w:t>
      </w:r>
      <w:proofErr w:type="gramStart"/>
      <w:r w:rsidRPr="00E727B6">
        <w:rPr>
          <w:rFonts w:ascii="宋体" w:eastAsia="宋体" w:hAnsi="宋体" w:cs="宋体" w:hint="eastAsia"/>
          <w:color w:val="333333"/>
          <w:kern w:val="0"/>
          <w:sz w:val="32"/>
          <w:szCs w:val="32"/>
        </w:rPr>
        <w:t>商选资</w:t>
      </w:r>
      <w:proofErr w:type="gramEnd"/>
      <w:r w:rsidRPr="00E727B6">
        <w:rPr>
          <w:rFonts w:ascii="宋体" w:eastAsia="宋体" w:hAnsi="宋体" w:cs="宋体" w:hint="eastAsia"/>
          <w:color w:val="333333"/>
          <w:kern w:val="0"/>
          <w:sz w:val="32"/>
          <w:szCs w:val="32"/>
        </w:rPr>
        <w:t>，规范项目准入门槛</w:t>
      </w:r>
    </w:p>
    <w:p w:rsidR="00E727B6" w:rsidRPr="00E727B6" w:rsidRDefault="00E727B6" w:rsidP="00E727B6">
      <w:pPr>
        <w:widowControl/>
        <w:shd w:val="clear" w:color="auto" w:fill="FFFFFF"/>
        <w:spacing w:line="640" w:lineRule="atLeast"/>
        <w:ind w:left="675" w:right="675" w:firstLine="630"/>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第一条</w:t>
      </w:r>
      <w:r w:rsidRPr="00E727B6">
        <w:rPr>
          <w:rFonts w:ascii="宋体" w:eastAsia="宋体" w:hAnsi="宋体" w:cs="宋体" w:hint="eastAsia"/>
          <w:color w:val="333333"/>
          <w:kern w:val="0"/>
          <w:sz w:val="32"/>
          <w:szCs w:val="32"/>
        </w:rPr>
        <w:t>  产业政策原则：符合国家产业政策和地方产业发展规划；符合园区的产业定位、规划布局和配套要求。</w:t>
      </w:r>
    </w:p>
    <w:p w:rsidR="00E727B6" w:rsidRPr="00E727B6" w:rsidRDefault="00E727B6" w:rsidP="00E727B6">
      <w:pPr>
        <w:widowControl/>
        <w:shd w:val="clear" w:color="auto" w:fill="FFFFFF"/>
        <w:spacing w:line="64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第二条</w:t>
      </w:r>
      <w:r w:rsidRPr="00E727B6">
        <w:rPr>
          <w:rFonts w:ascii="宋体" w:eastAsia="宋体" w:hAnsi="宋体" w:cs="宋体" w:hint="eastAsia"/>
          <w:color w:val="333333"/>
          <w:kern w:val="0"/>
          <w:sz w:val="32"/>
          <w:szCs w:val="32"/>
        </w:rPr>
        <w:t> 环保安全原则：符合国家环境保护和安全生产相关要求。</w:t>
      </w:r>
    </w:p>
    <w:p w:rsidR="00E727B6" w:rsidRPr="00E727B6" w:rsidRDefault="00E727B6" w:rsidP="00E727B6">
      <w:pPr>
        <w:widowControl/>
        <w:shd w:val="clear" w:color="auto" w:fill="FFFFFF"/>
        <w:spacing w:line="64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第三条</w:t>
      </w:r>
      <w:r w:rsidRPr="00E727B6">
        <w:rPr>
          <w:rFonts w:ascii="宋体" w:eastAsia="宋体" w:hAnsi="宋体" w:cs="宋体" w:hint="eastAsia"/>
          <w:color w:val="333333"/>
          <w:kern w:val="0"/>
          <w:sz w:val="32"/>
          <w:szCs w:val="32"/>
        </w:rPr>
        <w:t>  经济效益原则：引进项目要满足一定的经济效益指标，优先考虑投资规模大，产出高的项目。</w:t>
      </w:r>
    </w:p>
    <w:p w:rsidR="00E727B6" w:rsidRPr="00E727B6" w:rsidRDefault="00E727B6" w:rsidP="00E727B6">
      <w:pPr>
        <w:widowControl/>
        <w:shd w:val="clear" w:color="auto" w:fill="FFFFFF"/>
        <w:spacing w:line="64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第四条</w:t>
      </w:r>
      <w:r w:rsidRPr="00E727B6">
        <w:rPr>
          <w:rFonts w:ascii="宋体" w:eastAsia="宋体" w:hAnsi="宋体" w:cs="宋体" w:hint="eastAsia"/>
          <w:color w:val="333333"/>
          <w:kern w:val="0"/>
          <w:sz w:val="32"/>
          <w:szCs w:val="32"/>
        </w:rPr>
        <w:t>  成立项目评审组，对招商项目进行评审。评审组成员由商务局、财政局、工信委、</w:t>
      </w:r>
      <w:proofErr w:type="gramStart"/>
      <w:r w:rsidRPr="00E727B6">
        <w:rPr>
          <w:rFonts w:ascii="宋体" w:eastAsia="宋体" w:hAnsi="宋体" w:cs="宋体" w:hint="eastAsia"/>
          <w:color w:val="333333"/>
          <w:kern w:val="0"/>
          <w:sz w:val="32"/>
          <w:szCs w:val="32"/>
        </w:rPr>
        <w:t>发改委</w:t>
      </w:r>
      <w:proofErr w:type="gramEnd"/>
      <w:r w:rsidRPr="00E727B6">
        <w:rPr>
          <w:rFonts w:ascii="宋体" w:eastAsia="宋体" w:hAnsi="宋体" w:cs="宋体" w:hint="eastAsia"/>
          <w:color w:val="333333"/>
          <w:kern w:val="0"/>
          <w:sz w:val="32"/>
          <w:szCs w:val="32"/>
        </w:rPr>
        <w:t>、国土局、城建局、环保局、安监局、国税局、地税局、工商局、人保局、林业局、生态经济园管委会、供电公司、供水公司及不同类型项目相关单位组成。由开放型经济工作领导小组牵头，召集项目评审组召开专题会议，</w:t>
      </w:r>
      <w:r w:rsidRPr="00E727B6">
        <w:rPr>
          <w:rFonts w:ascii="宋体" w:eastAsia="宋体" w:hAnsi="宋体" w:cs="宋体" w:hint="eastAsia"/>
          <w:color w:val="333333"/>
          <w:kern w:val="0"/>
          <w:sz w:val="32"/>
          <w:szCs w:val="32"/>
        </w:rPr>
        <w:lastRenderedPageBreak/>
        <w:t>会议对招商工作人员所提交的项目是否符合产业政策、环保要求、经济效益、安全生产等进行集中审议。通过评审的项目方可申请落户，进行正式签约。</w:t>
      </w:r>
    </w:p>
    <w:p w:rsidR="00E727B6" w:rsidRPr="00E727B6" w:rsidRDefault="00E727B6" w:rsidP="00E727B6">
      <w:pPr>
        <w:widowControl/>
        <w:shd w:val="clear" w:color="auto" w:fill="FFFFFF"/>
        <w:spacing w:line="64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第五条</w:t>
      </w:r>
      <w:r w:rsidRPr="00E727B6">
        <w:rPr>
          <w:rFonts w:ascii="宋体" w:eastAsia="宋体" w:hAnsi="宋体" w:cs="宋体" w:hint="eastAsia"/>
          <w:color w:val="333333"/>
          <w:kern w:val="0"/>
          <w:sz w:val="32"/>
          <w:szCs w:val="32"/>
        </w:rPr>
        <w:t>  入园项目投资规模要求：企业固定资产总投资（厂房、设备和土地款等）内资必须达3000万元、外资500万美元以上，且投产后属规模以上企业的工业项目。</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项目用地要求：土地资源向投资规模大、科技含量高、能源消耗少、环境保护好、安全风险小的企业倾斜。项目用地按合法程序取得。</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项目纳税要求：项目达产达标后，用地范围内税收贡献率每亩须达5万元人民币以上。</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项目建设要求: 厂房建筑容积率不低于0.8（具体按有关行业规定标准执行），行政办公及生活服务设施建筑占地面积不超过用地面积的7%。</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二、拓宽投资领域，打造投资兴业“洼地”效应</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lastRenderedPageBreak/>
        <w:t>第六条</w:t>
      </w:r>
      <w:r w:rsidRPr="00E727B6">
        <w:rPr>
          <w:rFonts w:ascii="宋体" w:eastAsia="宋体" w:hAnsi="宋体" w:cs="宋体" w:hint="eastAsia"/>
          <w:color w:val="333333"/>
          <w:kern w:val="0"/>
          <w:sz w:val="32"/>
          <w:szCs w:val="32"/>
        </w:rPr>
        <w:t>  招引项目原则为“两大两低五高”项目。“两大”即大产业、大项目，“两低”即低耗能、低用工，“五高”即高税赋、高容积率、高环保、高科技、高产出。</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第七条</w:t>
      </w:r>
      <w:r w:rsidRPr="00E727B6">
        <w:rPr>
          <w:rFonts w:ascii="宋体" w:eastAsia="宋体" w:hAnsi="宋体" w:cs="宋体" w:hint="eastAsia"/>
          <w:color w:val="333333"/>
          <w:kern w:val="0"/>
          <w:sz w:val="32"/>
          <w:szCs w:val="32"/>
        </w:rPr>
        <w:t> 本规定适用于在我县投资建设的符合国家产业政策并在地方缴纳流转税和所得税的独立核算企业，包括工业、有机农业、旅游休闲及现代服务业等项目。重点引导高新技术产业，有机农业、生物医药、机电、矿产深加工、竹精深加工、休闲旅游、商贸物流、文化等产业入铜。</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第八条</w:t>
      </w:r>
      <w:r w:rsidRPr="00E727B6">
        <w:rPr>
          <w:rFonts w:ascii="宋体" w:eastAsia="宋体" w:hAnsi="宋体" w:cs="宋体" w:hint="eastAsia"/>
          <w:color w:val="333333"/>
          <w:kern w:val="0"/>
          <w:sz w:val="32"/>
          <w:szCs w:val="32"/>
        </w:rPr>
        <w:t>  鼓励外来投资者以专利、专有技术、注册商标等无形资产来铜鼓投资。以技术要素作为股权投资的，经有资质的评估机构进行专业评估，其作价金额占注册资本比例可达到40%；外来投资企业研究开发新产品、新技术、新工艺发生的各项费用，计入管理费用，享受新产品退增值税的政策优惠。依法保护外来投资企业的版权、专利权、商标权等知识产权。</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lastRenderedPageBreak/>
        <w:t>第九条</w:t>
      </w:r>
      <w:r w:rsidRPr="00E727B6">
        <w:rPr>
          <w:rFonts w:ascii="宋体" w:eastAsia="宋体" w:hAnsi="宋体" w:cs="宋体" w:hint="eastAsia"/>
          <w:color w:val="333333"/>
          <w:kern w:val="0"/>
          <w:sz w:val="32"/>
          <w:szCs w:val="32"/>
        </w:rPr>
        <w:t>  鼓励多样化投资形式。外商可采取合资、合作、独资、品牌买断、设备入股和租赁等投资形式，鼓励国内外大型企业（集团）、上市公司、产业带动性强的高新技术企业来我县投资，注册登记公司、建立生产基地、设立经营机构；设立三产服务公司。除国家明文规定的特殊行业外，外来投资者均可控股或独资经营。</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三、加大政策扶持，建立政企互惠共赢新机制</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第十条</w:t>
      </w:r>
      <w:r w:rsidRPr="00E727B6">
        <w:rPr>
          <w:rFonts w:ascii="宋体" w:eastAsia="宋体" w:hAnsi="宋体" w:cs="宋体" w:hint="eastAsia"/>
          <w:color w:val="333333"/>
          <w:kern w:val="0"/>
          <w:sz w:val="32"/>
          <w:szCs w:val="32"/>
        </w:rPr>
        <w:t>  固定资产投资在1000万元以上（外资在100万美元以上）的生产性企业，自合同约定竣工之日起税收依率计征后：企业所得税地方实得部分前五年由受益财政在下一年度初列支全额扶持，后五年由受益财政在下一年度初列支扶持50%；企业增值税（不含出口退税部分），地方实得部分前十年由受益财政在下一年度初予以列支扶持，扶持比例按前4年60%、后6年按40%列支扶持。</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第十一条</w:t>
      </w:r>
      <w:r w:rsidRPr="00E727B6">
        <w:rPr>
          <w:rFonts w:ascii="宋体" w:eastAsia="宋体" w:hAnsi="宋体" w:cs="宋体" w:hint="eastAsia"/>
          <w:color w:val="333333"/>
          <w:kern w:val="0"/>
          <w:sz w:val="32"/>
          <w:szCs w:val="32"/>
        </w:rPr>
        <w:t>  凡属于国家鼓励类非工业项目和社会福利事业或其他公益事业项目（农业、林</w:t>
      </w:r>
      <w:r w:rsidRPr="00E727B6">
        <w:rPr>
          <w:rFonts w:ascii="宋体" w:eastAsia="宋体" w:hAnsi="宋体" w:cs="宋体" w:hint="eastAsia"/>
          <w:color w:val="333333"/>
          <w:kern w:val="0"/>
          <w:sz w:val="32"/>
          <w:szCs w:val="32"/>
        </w:rPr>
        <w:lastRenderedPageBreak/>
        <w:t>业、畜牧业、渔业、旅游业、交通运输业、仓储物流业、教育、文化、体育、卫生、康复等，且固定资产投资2000万元以上的），各种税收依率计征后，地方实得部分前十年由受益财政在下一年度初予以扶持，扶持比例按前五年80%、后五年50%由财政列支扶持。</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第十二条</w:t>
      </w:r>
      <w:r w:rsidRPr="00E727B6">
        <w:rPr>
          <w:rFonts w:ascii="宋体" w:eastAsia="宋体" w:hAnsi="宋体" w:cs="宋体" w:hint="eastAsia"/>
          <w:color w:val="333333"/>
          <w:kern w:val="0"/>
          <w:sz w:val="32"/>
          <w:szCs w:val="32"/>
        </w:rPr>
        <w:t> 入园项目县财政与乡镇引进项目税收的地方实得部分分成比例为2︰8，与部门引入项目税收的地方实得部分分成比例为9.5：0.5，县财政分成部分用于补足园区基础设施的投入。</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第十三条</w:t>
      </w:r>
      <w:r w:rsidRPr="00E727B6">
        <w:rPr>
          <w:rFonts w:ascii="宋体" w:eastAsia="宋体" w:hAnsi="宋体" w:cs="宋体" w:hint="eastAsia"/>
          <w:color w:val="333333"/>
          <w:kern w:val="0"/>
          <w:sz w:val="32"/>
          <w:szCs w:val="32"/>
        </w:rPr>
        <w:t>  鼓励企业出口创汇，在国家和省、市补贴的基础上，每出口1美元（以海关（保税区）、上级商务部门、港口统计为准），县财政另外补贴0.02元人民币。</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第十四条</w:t>
      </w:r>
      <w:r w:rsidRPr="00E727B6">
        <w:rPr>
          <w:rFonts w:ascii="宋体" w:eastAsia="宋体" w:hAnsi="宋体" w:cs="宋体" w:hint="eastAsia"/>
          <w:color w:val="333333"/>
          <w:kern w:val="0"/>
          <w:sz w:val="32"/>
          <w:szCs w:val="32"/>
        </w:rPr>
        <w:t>  房地产、矿产资源开发和</w:t>
      </w:r>
      <w:proofErr w:type="gramStart"/>
      <w:r w:rsidRPr="00E727B6">
        <w:rPr>
          <w:rFonts w:ascii="宋体" w:eastAsia="宋体" w:hAnsi="宋体" w:cs="宋体" w:hint="eastAsia"/>
          <w:color w:val="333333"/>
          <w:kern w:val="0"/>
          <w:sz w:val="32"/>
          <w:szCs w:val="32"/>
        </w:rPr>
        <w:t>可</w:t>
      </w:r>
      <w:proofErr w:type="gramEnd"/>
      <w:r w:rsidRPr="00E727B6">
        <w:rPr>
          <w:rFonts w:ascii="宋体" w:eastAsia="宋体" w:hAnsi="宋体" w:cs="宋体" w:hint="eastAsia"/>
          <w:color w:val="333333"/>
          <w:kern w:val="0"/>
          <w:sz w:val="32"/>
          <w:szCs w:val="32"/>
        </w:rPr>
        <w:t>再生自然资源粗加工等项目不作为招商引资项目，不享受招商引资优惠政策。</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第十五条</w:t>
      </w:r>
      <w:r w:rsidRPr="00E727B6">
        <w:rPr>
          <w:rFonts w:ascii="宋体" w:eastAsia="宋体" w:hAnsi="宋体" w:cs="宋体" w:hint="eastAsia"/>
          <w:color w:val="333333"/>
          <w:kern w:val="0"/>
          <w:sz w:val="32"/>
          <w:szCs w:val="32"/>
        </w:rPr>
        <w:t>  设立引资中介奖。凡提供重大有效招商信息并促成项目落户的单位和个人，可</w:t>
      </w:r>
      <w:r w:rsidRPr="00E727B6">
        <w:rPr>
          <w:rFonts w:ascii="宋体" w:eastAsia="宋体" w:hAnsi="宋体" w:cs="宋体" w:hint="eastAsia"/>
          <w:color w:val="333333"/>
          <w:kern w:val="0"/>
          <w:sz w:val="32"/>
          <w:szCs w:val="32"/>
        </w:rPr>
        <w:lastRenderedPageBreak/>
        <w:t>认定为招商引资单位或个人，由受益财政按其正式投产后第一年核定的固定资产投资的1%一次性奖励信息中介费，最高奖励20万元；凡促成世界500强、国内200强企业落户我县，按其正式投产后第一年核定的固定资产投资的1%一次性奖励，最高奖励30万元；凡县直有关单位促成投资的项目，落户园区（或乡镇）的，税收归县本级，从引进项目投产之日起，由县财政根据企业税收情况，给予引资单位企业年缴税收地方实得部分5%的奖励（剔除兑现企业优惠后），作为单位跟踪服务企业的工作经费。</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凡新引进外资项目除以上奖励外，按现汇进资每100万美元对引资单位奖励5000元，最高奖励10万元。</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第十六条</w:t>
      </w:r>
      <w:r w:rsidRPr="00E727B6">
        <w:rPr>
          <w:rFonts w:ascii="宋体" w:eastAsia="宋体" w:hAnsi="宋体" w:cs="宋体" w:hint="eastAsia"/>
          <w:color w:val="333333"/>
          <w:kern w:val="0"/>
          <w:sz w:val="32"/>
          <w:szCs w:val="32"/>
        </w:rPr>
        <w:t>  凡客商投资企业，属县内办理相关程序的，一切收费项目公开，并事先告知收费标准，一个窗口收缴，分别办理手续；需到上级部门办理的，则由相关部门协助，全程跟踪服务。</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lastRenderedPageBreak/>
        <w:t>第十七条</w:t>
      </w:r>
      <w:r w:rsidRPr="00E727B6">
        <w:rPr>
          <w:rFonts w:ascii="宋体" w:eastAsia="宋体" w:hAnsi="宋体" w:cs="宋体" w:hint="eastAsia"/>
          <w:color w:val="333333"/>
          <w:kern w:val="0"/>
          <w:sz w:val="32"/>
          <w:szCs w:val="32"/>
        </w:rPr>
        <w:t>  实行“三零两减半”措施。三零：</w:t>
      </w:r>
      <w:proofErr w:type="gramStart"/>
      <w:r w:rsidRPr="00E727B6">
        <w:rPr>
          <w:rFonts w:ascii="宋体" w:eastAsia="宋体" w:hAnsi="宋体" w:cs="宋体" w:hint="eastAsia"/>
          <w:b/>
          <w:bCs/>
          <w:color w:val="333333"/>
          <w:kern w:val="0"/>
          <w:sz w:val="32"/>
          <w:szCs w:val="32"/>
        </w:rPr>
        <w:t>零收费</w:t>
      </w:r>
      <w:proofErr w:type="gramEnd"/>
      <w:r w:rsidRPr="00E727B6">
        <w:rPr>
          <w:rFonts w:ascii="宋体" w:eastAsia="宋体" w:hAnsi="宋体" w:cs="宋体" w:hint="eastAsia"/>
          <w:color w:val="333333"/>
          <w:kern w:val="0"/>
          <w:sz w:val="32"/>
          <w:szCs w:val="32"/>
        </w:rPr>
        <w:t>是指今后县直单位对县生态经济园及规模以上重点工业企业实行部分行政事业性收费、部分经营性收费实行零收取；</w:t>
      </w:r>
      <w:r w:rsidRPr="00E727B6">
        <w:rPr>
          <w:rFonts w:ascii="宋体" w:eastAsia="宋体" w:hAnsi="宋体" w:cs="宋体" w:hint="eastAsia"/>
          <w:b/>
          <w:bCs/>
          <w:color w:val="333333"/>
          <w:kern w:val="0"/>
          <w:sz w:val="32"/>
          <w:szCs w:val="32"/>
        </w:rPr>
        <w:t>零摊派</w:t>
      </w:r>
      <w:r w:rsidRPr="00E727B6">
        <w:rPr>
          <w:rFonts w:ascii="宋体" w:eastAsia="宋体" w:hAnsi="宋体" w:cs="宋体" w:hint="eastAsia"/>
          <w:color w:val="333333"/>
          <w:kern w:val="0"/>
          <w:sz w:val="32"/>
          <w:szCs w:val="32"/>
        </w:rPr>
        <w:t>：即县直单位及其工作人员不得向县生态经济园及规模以上重点工业企业拉广告、拉赞助，不得向企业搞摊派、搞集资，不得以任何形式增加企业负担；</w:t>
      </w:r>
      <w:r w:rsidRPr="00E727B6">
        <w:rPr>
          <w:rFonts w:ascii="宋体" w:eastAsia="宋体" w:hAnsi="宋体" w:cs="宋体" w:hint="eastAsia"/>
          <w:b/>
          <w:bCs/>
          <w:color w:val="333333"/>
          <w:kern w:val="0"/>
          <w:sz w:val="32"/>
          <w:szCs w:val="32"/>
        </w:rPr>
        <w:t>零处罚</w:t>
      </w:r>
      <w:r w:rsidRPr="00E727B6">
        <w:rPr>
          <w:rFonts w:ascii="宋体" w:eastAsia="宋体" w:hAnsi="宋体" w:cs="宋体" w:hint="eastAsia"/>
          <w:color w:val="333333"/>
          <w:kern w:val="0"/>
          <w:sz w:val="32"/>
          <w:szCs w:val="32"/>
        </w:rPr>
        <w:t>：即刑事案件、安全生产、环境污染和拖欠农民工工资检查外，任何单位未经县“双优办”备案同意，不得入企业检查，实行首查不罚，教育为主，限期整改（再检查</w:t>
      </w:r>
      <w:proofErr w:type="gramStart"/>
      <w:r w:rsidRPr="00E727B6">
        <w:rPr>
          <w:rFonts w:ascii="宋体" w:eastAsia="宋体" w:hAnsi="宋体" w:cs="宋体" w:hint="eastAsia"/>
          <w:color w:val="333333"/>
          <w:kern w:val="0"/>
          <w:sz w:val="32"/>
          <w:szCs w:val="32"/>
        </w:rPr>
        <w:t>需处罚</w:t>
      </w:r>
      <w:proofErr w:type="gramEnd"/>
      <w:r w:rsidRPr="00E727B6">
        <w:rPr>
          <w:rFonts w:ascii="宋体" w:eastAsia="宋体" w:hAnsi="宋体" w:cs="宋体" w:hint="eastAsia"/>
          <w:color w:val="333333"/>
          <w:kern w:val="0"/>
          <w:sz w:val="32"/>
          <w:szCs w:val="32"/>
        </w:rPr>
        <w:t>的，执法单位必须在下达处罚通知书前报县“双优办”备案，并严格按照《江西省行政处罚裁量权执行标准》的最低标准执行）。</w:t>
      </w:r>
      <w:r w:rsidRPr="00E727B6">
        <w:rPr>
          <w:rFonts w:ascii="宋体" w:eastAsia="宋体" w:hAnsi="宋体" w:cs="宋体" w:hint="eastAsia"/>
          <w:b/>
          <w:bCs/>
          <w:color w:val="333333"/>
          <w:kern w:val="0"/>
          <w:sz w:val="32"/>
          <w:szCs w:val="32"/>
        </w:rPr>
        <w:t>两减半</w:t>
      </w:r>
      <w:r w:rsidRPr="00E727B6">
        <w:rPr>
          <w:rFonts w:ascii="宋体" w:eastAsia="宋体" w:hAnsi="宋体" w:cs="宋体" w:hint="eastAsia"/>
          <w:color w:val="333333"/>
          <w:kern w:val="0"/>
          <w:sz w:val="32"/>
          <w:szCs w:val="32"/>
        </w:rPr>
        <w:t>：是指县直单位对企业的事业性收费按国家规定标准下限的50%收取；涉及行政审批前置条件的经营性收费，按国家规定最低收费标准的50%收取。）</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第十八条</w:t>
      </w:r>
      <w:r w:rsidRPr="00E727B6">
        <w:rPr>
          <w:rFonts w:ascii="宋体" w:eastAsia="宋体" w:hAnsi="宋体" w:cs="宋体" w:hint="eastAsia"/>
          <w:color w:val="333333"/>
          <w:kern w:val="0"/>
          <w:sz w:val="32"/>
          <w:szCs w:val="32"/>
        </w:rPr>
        <w:t>  企业开通有线电视、电话和互联网，广电和电信部门只收取厂区内的工时费和材料费。</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lastRenderedPageBreak/>
        <w:t>四、集约项目用地，着力提高土地容积率</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第十九条</w:t>
      </w:r>
      <w:r w:rsidRPr="00E727B6">
        <w:rPr>
          <w:rFonts w:ascii="宋体" w:eastAsia="宋体" w:hAnsi="宋体" w:cs="宋体" w:hint="eastAsia"/>
          <w:color w:val="333333"/>
          <w:kern w:val="0"/>
          <w:sz w:val="32"/>
          <w:szCs w:val="32"/>
        </w:rPr>
        <w:t>  土地出让价格依据项目固定资产投资额度、规模和创税能力实行差异化奖励政策。</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投资额度为1亿元—5亿元的项目，且建筑面积在30000㎡以上、税收贡献率5万元／</w:t>
      </w:r>
      <w:proofErr w:type="gramStart"/>
      <w:r w:rsidRPr="00E727B6">
        <w:rPr>
          <w:rFonts w:ascii="宋体" w:eastAsia="宋体" w:hAnsi="宋体" w:cs="宋体" w:hint="eastAsia"/>
          <w:color w:val="333333"/>
          <w:kern w:val="0"/>
          <w:sz w:val="32"/>
          <w:szCs w:val="32"/>
        </w:rPr>
        <w:t>亩以上</w:t>
      </w:r>
      <w:proofErr w:type="gramEnd"/>
      <w:r w:rsidRPr="00E727B6">
        <w:rPr>
          <w:rFonts w:ascii="宋体" w:eastAsia="宋体" w:hAnsi="宋体" w:cs="宋体" w:hint="eastAsia"/>
          <w:color w:val="333333"/>
          <w:kern w:val="0"/>
          <w:sz w:val="32"/>
          <w:szCs w:val="32"/>
        </w:rPr>
        <w:t>的，土地出让价格按4万元／亩收取（待企业达到亩均税收贡献率之后，由受益财政按1万元／</w:t>
      </w:r>
      <w:proofErr w:type="gramStart"/>
      <w:r w:rsidRPr="00E727B6">
        <w:rPr>
          <w:rFonts w:ascii="宋体" w:eastAsia="宋体" w:hAnsi="宋体" w:cs="宋体" w:hint="eastAsia"/>
          <w:color w:val="333333"/>
          <w:kern w:val="0"/>
          <w:sz w:val="32"/>
          <w:szCs w:val="32"/>
        </w:rPr>
        <w:t>亩标准</w:t>
      </w:r>
      <w:proofErr w:type="gramEnd"/>
      <w:r w:rsidRPr="00E727B6">
        <w:rPr>
          <w:rFonts w:ascii="宋体" w:eastAsia="宋体" w:hAnsi="宋体" w:cs="宋体" w:hint="eastAsia"/>
          <w:color w:val="333333"/>
          <w:kern w:val="0"/>
          <w:sz w:val="32"/>
          <w:szCs w:val="32"/>
        </w:rPr>
        <w:t>奖励扶持企业基础设施建设或技改）。</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投资额度为5亿元—10亿元的项目，且建筑面积50000㎡以上、税收贡献率5万元／</w:t>
      </w:r>
      <w:proofErr w:type="gramStart"/>
      <w:r w:rsidRPr="00E727B6">
        <w:rPr>
          <w:rFonts w:ascii="宋体" w:eastAsia="宋体" w:hAnsi="宋体" w:cs="宋体" w:hint="eastAsia"/>
          <w:color w:val="333333"/>
          <w:kern w:val="0"/>
          <w:sz w:val="32"/>
          <w:szCs w:val="32"/>
        </w:rPr>
        <w:t>亩以上</w:t>
      </w:r>
      <w:proofErr w:type="gramEnd"/>
      <w:r w:rsidRPr="00E727B6">
        <w:rPr>
          <w:rFonts w:ascii="宋体" w:eastAsia="宋体" w:hAnsi="宋体" w:cs="宋体" w:hint="eastAsia"/>
          <w:color w:val="333333"/>
          <w:kern w:val="0"/>
          <w:sz w:val="32"/>
          <w:szCs w:val="32"/>
        </w:rPr>
        <w:t>的，土地出让价格按4万元／亩收取（待企业达到亩均税收贡献率之后，由受益财政按2万元／</w:t>
      </w:r>
      <w:proofErr w:type="gramStart"/>
      <w:r w:rsidRPr="00E727B6">
        <w:rPr>
          <w:rFonts w:ascii="宋体" w:eastAsia="宋体" w:hAnsi="宋体" w:cs="宋体" w:hint="eastAsia"/>
          <w:color w:val="333333"/>
          <w:kern w:val="0"/>
          <w:sz w:val="32"/>
          <w:szCs w:val="32"/>
        </w:rPr>
        <w:t>亩标准</w:t>
      </w:r>
      <w:proofErr w:type="gramEnd"/>
      <w:r w:rsidRPr="00E727B6">
        <w:rPr>
          <w:rFonts w:ascii="宋体" w:eastAsia="宋体" w:hAnsi="宋体" w:cs="宋体" w:hint="eastAsia"/>
          <w:color w:val="333333"/>
          <w:kern w:val="0"/>
          <w:sz w:val="32"/>
          <w:szCs w:val="32"/>
        </w:rPr>
        <w:t>奖励扶持企业基础设施建设或技改）。</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投资额度为10亿元以上的项目，且建筑面积在100000㎡以上、税收贡献率5万元／</w:t>
      </w:r>
      <w:proofErr w:type="gramStart"/>
      <w:r w:rsidRPr="00E727B6">
        <w:rPr>
          <w:rFonts w:ascii="宋体" w:eastAsia="宋体" w:hAnsi="宋体" w:cs="宋体" w:hint="eastAsia"/>
          <w:color w:val="333333"/>
          <w:kern w:val="0"/>
          <w:sz w:val="32"/>
          <w:szCs w:val="32"/>
        </w:rPr>
        <w:t>亩以上</w:t>
      </w:r>
      <w:proofErr w:type="gramEnd"/>
      <w:r w:rsidRPr="00E727B6">
        <w:rPr>
          <w:rFonts w:ascii="宋体" w:eastAsia="宋体" w:hAnsi="宋体" w:cs="宋体" w:hint="eastAsia"/>
          <w:color w:val="333333"/>
          <w:kern w:val="0"/>
          <w:sz w:val="32"/>
          <w:szCs w:val="32"/>
        </w:rPr>
        <w:t>的，土地出让价格按4万元／亩收取（待企业达到亩均税收贡献率之后，由受益财政按3万元／</w:t>
      </w:r>
      <w:proofErr w:type="gramStart"/>
      <w:r w:rsidRPr="00E727B6">
        <w:rPr>
          <w:rFonts w:ascii="宋体" w:eastAsia="宋体" w:hAnsi="宋体" w:cs="宋体" w:hint="eastAsia"/>
          <w:color w:val="333333"/>
          <w:kern w:val="0"/>
          <w:sz w:val="32"/>
          <w:szCs w:val="32"/>
        </w:rPr>
        <w:t>亩标准</w:t>
      </w:r>
      <w:proofErr w:type="gramEnd"/>
      <w:r w:rsidRPr="00E727B6">
        <w:rPr>
          <w:rFonts w:ascii="宋体" w:eastAsia="宋体" w:hAnsi="宋体" w:cs="宋体" w:hint="eastAsia"/>
          <w:color w:val="333333"/>
          <w:kern w:val="0"/>
          <w:sz w:val="32"/>
          <w:szCs w:val="32"/>
        </w:rPr>
        <w:t>奖励扶持企业基础设施建设或技改）。</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lastRenderedPageBreak/>
        <w:t>在享受以上同等优惠政策条件下，外资企业投产达标之后，由受益财政按照0.2万元／</w:t>
      </w:r>
      <w:proofErr w:type="gramStart"/>
      <w:r w:rsidRPr="00E727B6">
        <w:rPr>
          <w:rFonts w:ascii="宋体" w:eastAsia="宋体" w:hAnsi="宋体" w:cs="宋体" w:hint="eastAsia"/>
          <w:color w:val="333333"/>
          <w:kern w:val="0"/>
          <w:sz w:val="32"/>
          <w:szCs w:val="32"/>
        </w:rPr>
        <w:t>亩标准</w:t>
      </w:r>
      <w:proofErr w:type="gramEnd"/>
      <w:r w:rsidRPr="00E727B6">
        <w:rPr>
          <w:rFonts w:ascii="宋体" w:eastAsia="宋体" w:hAnsi="宋体" w:cs="宋体" w:hint="eastAsia"/>
          <w:color w:val="333333"/>
          <w:kern w:val="0"/>
          <w:sz w:val="32"/>
          <w:szCs w:val="32"/>
        </w:rPr>
        <w:t>另行奖励企业，用于扶持企业基础设施建设或技改。</w:t>
      </w:r>
    </w:p>
    <w:p w:rsidR="00E727B6" w:rsidRPr="00E727B6" w:rsidRDefault="00E727B6" w:rsidP="00E727B6">
      <w:pPr>
        <w:widowControl/>
        <w:shd w:val="clear" w:color="auto" w:fill="FFFFFF"/>
        <w:spacing w:line="680" w:lineRule="atLeast"/>
        <w:ind w:left="675" w:right="675" w:firstLine="643"/>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第二十条</w:t>
      </w:r>
      <w:r w:rsidRPr="00E727B6">
        <w:rPr>
          <w:rFonts w:ascii="宋体" w:eastAsia="宋体" w:hAnsi="宋体" w:cs="宋体" w:hint="eastAsia"/>
          <w:color w:val="333333"/>
          <w:kern w:val="0"/>
          <w:sz w:val="32"/>
          <w:szCs w:val="32"/>
        </w:rPr>
        <w:t>  企业在达产达标正式生产后，土地使用权在不改变工业用地用途的前提下，在土地使用期限内，可以依法转让、继承、质押、出租。未按合同规定时间开工、投产和未达到合同规定建筑面积、容积率要求的项目，按国家相应标准收取土地闲置费；两年未开工的或未达到投资强度的部分依法无偿收回土地使用权。</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第二十一条</w:t>
      </w:r>
      <w:r w:rsidRPr="00E727B6">
        <w:rPr>
          <w:rFonts w:ascii="宋体" w:eastAsia="宋体" w:hAnsi="宋体" w:cs="宋体" w:hint="eastAsia"/>
          <w:color w:val="333333"/>
          <w:kern w:val="0"/>
          <w:sz w:val="32"/>
          <w:szCs w:val="32"/>
        </w:rPr>
        <w:t>  凡固定资产投资3000万元以上，且在县城</w:t>
      </w:r>
      <w:proofErr w:type="gramStart"/>
      <w:r w:rsidRPr="00E727B6">
        <w:rPr>
          <w:rFonts w:ascii="宋体" w:eastAsia="宋体" w:hAnsi="宋体" w:cs="宋体" w:hint="eastAsia"/>
          <w:color w:val="333333"/>
          <w:kern w:val="0"/>
          <w:sz w:val="32"/>
          <w:szCs w:val="32"/>
        </w:rPr>
        <w:t>规</w:t>
      </w:r>
      <w:proofErr w:type="gramEnd"/>
      <w:r w:rsidRPr="00E727B6">
        <w:rPr>
          <w:rFonts w:ascii="宋体" w:eastAsia="宋体" w:hAnsi="宋体" w:cs="宋体" w:hint="eastAsia"/>
          <w:color w:val="333333"/>
          <w:kern w:val="0"/>
          <w:sz w:val="32"/>
          <w:szCs w:val="32"/>
        </w:rPr>
        <w:t>控范围外兴办教育、文化、体育、卫生、康复等社会福利事业或其他公益事业项目及国家鼓励类项目（农业、林业、畜牧业、旅游业、交通运输业、仓储物流业等），土地出让金按基准地价全额收取后，按50%的比例进行奖励；凡引进银行、基金管理公司、信托公司等县外金融机构落户我县或开展贷款业务的，可折算本单位招商引资任务。</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lastRenderedPageBreak/>
        <w:t>第二十二条</w:t>
      </w:r>
      <w:r w:rsidRPr="00E727B6">
        <w:rPr>
          <w:rFonts w:ascii="宋体" w:eastAsia="宋体" w:hAnsi="宋体" w:cs="宋体" w:hint="eastAsia"/>
          <w:color w:val="333333"/>
          <w:kern w:val="0"/>
          <w:sz w:val="32"/>
          <w:szCs w:val="32"/>
        </w:rPr>
        <w:t>  此规定实施后，新进入园外工业项目及入驻原长林、</w:t>
      </w:r>
      <w:proofErr w:type="gramStart"/>
      <w:r w:rsidRPr="00E727B6">
        <w:rPr>
          <w:rFonts w:ascii="宋体" w:eastAsia="宋体" w:hAnsi="宋体" w:cs="宋体" w:hint="eastAsia"/>
          <w:color w:val="333333"/>
          <w:kern w:val="0"/>
          <w:sz w:val="32"/>
          <w:szCs w:val="32"/>
        </w:rPr>
        <w:t>长红老工业园区</w:t>
      </w:r>
      <w:proofErr w:type="gramEnd"/>
      <w:r w:rsidRPr="00E727B6">
        <w:rPr>
          <w:rFonts w:ascii="宋体" w:eastAsia="宋体" w:hAnsi="宋体" w:cs="宋体" w:hint="eastAsia"/>
          <w:color w:val="333333"/>
          <w:kern w:val="0"/>
          <w:sz w:val="32"/>
          <w:szCs w:val="32"/>
        </w:rPr>
        <w:t>的工业项目，在符合本件投资额度和效益贡献的前提下也可参照享受本规定相应优惠政策。</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第二十三条</w:t>
      </w:r>
      <w:r w:rsidRPr="00E727B6">
        <w:rPr>
          <w:rFonts w:ascii="宋体" w:eastAsia="宋体" w:hAnsi="宋体" w:cs="宋体" w:hint="eastAsia"/>
          <w:color w:val="333333"/>
          <w:kern w:val="0"/>
          <w:sz w:val="32"/>
          <w:szCs w:val="32"/>
        </w:rPr>
        <w:t>  凡乡镇（场）引进入园项目，由园区按1万元／</w:t>
      </w:r>
      <w:proofErr w:type="gramStart"/>
      <w:r w:rsidRPr="00E727B6">
        <w:rPr>
          <w:rFonts w:ascii="宋体" w:eastAsia="宋体" w:hAnsi="宋体" w:cs="宋体" w:hint="eastAsia"/>
          <w:color w:val="333333"/>
          <w:kern w:val="0"/>
          <w:sz w:val="32"/>
          <w:szCs w:val="32"/>
        </w:rPr>
        <w:t>亩标准</w:t>
      </w:r>
      <w:proofErr w:type="gramEnd"/>
      <w:r w:rsidRPr="00E727B6">
        <w:rPr>
          <w:rFonts w:ascii="宋体" w:eastAsia="宋体" w:hAnsi="宋体" w:cs="宋体" w:hint="eastAsia"/>
          <w:color w:val="333333"/>
          <w:kern w:val="0"/>
          <w:sz w:val="32"/>
          <w:szCs w:val="32"/>
        </w:rPr>
        <w:t>收取土地开发成本费，即：在项目正式合同签订后按每亩先缴0.5万元，余额部分在企业产生税收后3年内逐年缴清。</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五、完善园区配套功能，为企业稳定持续发展保驾护航</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第二十四条</w:t>
      </w:r>
      <w:r w:rsidRPr="00E727B6">
        <w:rPr>
          <w:rFonts w:ascii="宋体" w:eastAsia="宋体" w:hAnsi="宋体" w:cs="宋体" w:hint="eastAsia"/>
          <w:color w:val="333333"/>
          <w:kern w:val="0"/>
          <w:sz w:val="32"/>
          <w:szCs w:val="32"/>
        </w:rPr>
        <w:t>  园区负责“六通一平”（通路、通水、通电、通信、通有线电视、通排水、土地平整），并将供电接火点、供水接口点接驳至</w:t>
      </w:r>
      <w:proofErr w:type="gramStart"/>
      <w:r w:rsidRPr="00E727B6">
        <w:rPr>
          <w:rFonts w:ascii="宋体" w:eastAsia="宋体" w:hAnsi="宋体" w:cs="宋体" w:hint="eastAsia"/>
          <w:color w:val="333333"/>
          <w:kern w:val="0"/>
          <w:sz w:val="32"/>
          <w:szCs w:val="32"/>
        </w:rPr>
        <w:t>距企业</w:t>
      </w:r>
      <w:proofErr w:type="gramEnd"/>
      <w:r w:rsidRPr="00E727B6">
        <w:rPr>
          <w:rFonts w:ascii="宋体" w:eastAsia="宋体" w:hAnsi="宋体" w:cs="宋体" w:hint="eastAsia"/>
          <w:color w:val="333333"/>
          <w:kern w:val="0"/>
          <w:sz w:val="32"/>
          <w:szCs w:val="32"/>
        </w:rPr>
        <w:t>产权分界点60米范围内，其他部分由企业自行解决。</w:t>
      </w:r>
    </w:p>
    <w:p w:rsidR="00E727B6" w:rsidRPr="00E727B6" w:rsidRDefault="00E727B6" w:rsidP="00E727B6">
      <w:pPr>
        <w:widowControl/>
        <w:shd w:val="clear" w:color="auto" w:fill="FFFFFF"/>
        <w:spacing w:line="680" w:lineRule="atLeast"/>
        <w:ind w:left="675" w:right="675" w:firstLine="640"/>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32"/>
          <w:szCs w:val="32"/>
        </w:rPr>
        <w:t>六、优化服务环境，切实提高行政效能</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第二十五条</w:t>
      </w:r>
      <w:r w:rsidRPr="00E727B6">
        <w:rPr>
          <w:rFonts w:ascii="宋体" w:eastAsia="宋体" w:hAnsi="宋体" w:cs="宋体" w:hint="eastAsia"/>
          <w:color w:val="333333"/>
          <w:kern w:val="0"/>
          <w:sz w:val="32"/>
          <w:szCs w:val="32"/>
        </w:rPr>
        <w:t>  对于引进的重大项目，采取“一个项目、一名领导、一支队伍”的“三个一”工作制度，安排一名县领导、一个部门挂点</w:t>
      </w:r>
      <w:r w:rsidRPr="00E727B6">
        <w:rPr>
          <w:rFonts w:ascii="宋体" w:eastAsia="宋体" w:hAnsi="宋体" w:cs="宋体" w:hint="eastAsia"/>
          <w:color w:val="333333"/>
          <w:kern w:val="0"/>
          <w:sz w:val="32"/>
          <w:szCs w:val="32"/>
        </w:rPr>
        <w:lastRenderedPageBreak/>
        <w:t>联系、一个工作队跟进，全程跟踪，提供“保姆式”服务。</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第二十六条</w:t>
      </w:r>
      <w:r w:rsidRPr="00E727B6">
        <w:rPr>
          <w:rFonts w:ascii="宋体" w:eastAsia="宋体" w:hAnsi="宋体" w:cs="宋体" w:hint="eastAsia"/>
          <w:color w:val="333333"/>
          <w:kern w:val="0"/>
          <w:sz w:val="32"/>
          <w:szCs w:val="32"/>
        </w:rPr>
        <w:t> 对年纳税达到500万元以上的企业，实行“企业合法权益保护牌”、“企业收费卡”和“投资者绿卡”（简称“一牌两卡”）制度。为重点客商投资企业开辟“绿色通道”，倡导</w:t>
      </w:r>
      <w:proofErr w:type="gramStart"/>
      <w:r w:rsidRPr="00E727B6">
        <w:rPr>
          <w:rFonts w:ascii="宋体" w:eastAsia="宋体" w:hAnsi="宋体" w:cs="宋体" w:hint="eastAsia"/>
          <w:color w:val="333333"/>
          <w:kern w:val="0"/>
          <w:sz w:val="32"/>
          <w:szCs w:val="32"/>
        </w:rPr>
        <w:t>特</w:t>
      </w:r>
      <w:proofErr w:type="gramEnd"/>
      <w:r w:rsidRPr="00E727B6">
        <w:rPr>
          <w:rFonts w:ascii="宋体" w:eastAsia="宋体" w:hAnsi="宋体" w:cs="宋体" w:hint="eastAsia"/>
          <w:color w:val="333333"/>
          <w:kern w:val="0"/>
          <w:sz w:val="32"/>
          <w:szCs w:val="32"/>
        </w:rPr>
        <w:t>事特办，繁事简办，急事快办。</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第二十七条</w:t>
      </w:r>
      <w:r w:rsidRPr="00E727B6">
        <w:rPr>
          <w:rFonts w:ascii="宋体" w:eastAsia="宋体" w:hAnsi="宋体" w:cs="宋体" w:hint="eastAsia"/>
          <w:color w:val="333333"/>
          <w:kern w:val="0"/>
          <w:sz w:val="32"/>
          <w:szCs w:val="32"/>
        </w:rPr>
        <w:t>  健全客商投诉制度，设立投诉电话，对以各种理由干扰企业建设和经营的人和事，一律从严查处，切实保护投资者的合法权益。</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第二十八条</w:t>
      </w:r>
      <w:r w:rsidRPr="00E727B6">
        <w:rPr>
          <w:rFonts w:ascii="宋体" w:eastAsia="宋体" w:hAnsi="宋体" w:cs="宋体" w:hint="eastAsia"/>
          <w:color w:val="333333"/>
          <w:kern w:val="0"/>
          <w:sz w:val="32"/>
          <w:szCs w:val="32"/>
        </w:rPr>
        <w:t>  落户本县范围内的企业，鼓励其以各种形式从县外聘用或调入专业技术人才或管理人员，有关手续由人保部门负责办理，其他关系</w:t>
      </w:r>
      <w:proofErr w:type="gramStart"/>
      <w:r w:rsidRPr="00E727B6">
        <w:rPr>
          <w:rFonts w:ascii="宋体" w:eastAsia="宋体" w:hAnsi="宋体" w:cs="宋体" w:hint="eastAsia"/>
          <w:color w:val="333333"/>
          <w:kern w:val="0"/>
          <w:sz w:val="32"/>
          <w:szCs w:val="32"/>
        </w:rPr>
        <w:t>寄存县</w:t>
      </w:r>
      <w:proofErr w:type="gramEnd"/>
      <w:r w:rsidRPr="00E727B6">
        <w:rPr>
          <w:rFonts w:ascii="宋体" w:eastAsia="宋体" w:hAnsi="宋体" w:cs="宋体" w:hint="eastAsia"/>
          <w:color w:val="333333"/>
          <w:kern w:val="0"/>
          <w:sz w:val="32"/>
          <w:szCs w:val="32"/>
        </w:rPr>
        <w:t>人才中心，档案保管费给予减免；园区企业引进的科技人员，其家属子女优先照顾落户，子女入学享受城区居民的同等待遇并可择校入学；根据企业需要，对企业管理人员和职工免费进行现代经营、科技及操作技能等知识的培训。</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lastRenderedPageBreak/>
        <w:t>第二十九条</w:t>
      </w:r>
      <w:r w:rsidRPr="00E727B6">
        <w:rPr>
          <w:rFonts w:ascii="宋体" w:eastAsia="宋体" w:hAnsi="宋体" w:cs="宋体" w:hint="eastAsia"/>
          <w:color w:val="333333"/>
          <w:kern w:val="0"/>
          <w:sz w:val="32"/>
          <w:szCs w:val="32"/>
        </w:rPr>
        <w:t>  对我县经济社会发展有明显带动作用的产业龙头、大项目，其投资在内资10亿元以上、外资1亿美元以上、年税收在3000万元以上的重大产业项目和特殊产业项目，可实行一事一议。 </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第三十条</w:t>
      </w:r>
      <w:r w:rsidRPr="00E727B6">
        <w:rPr>
          <w:rFonts w:ascii="宋体" w:eastAsia="宋体" w:hAnsi="宋体" w:cs="宋体" w:hint="eastAsia"/>
          <w:color w:val="333333"/>
          <w:kern w:val="0"/>
          <w:sz w:val="32"/>
          <w:szCs w:val="32"/>
        </w:rPr>
        <w:t>  今后如遇国家有关政策发生变化，本《规定》将根据国家新的政策及时予以调整执行。</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第三十一条</w:t>
      </w:r>
      <w:r w:rsidRPr="00E727B6">
        <w:rPr>
          <w:rFonts w:ascii="宋体" w:eastAsia="宋体" w:hAnsi="宋体" w:cs="宋体" w:hint="eastAsia"/>
          <w:color w:val="333333"/>
          <w:kern w:val="0"/>
          <w:sz w:val="32"/>
          <w:szCs w:val="32"/>
        </w:rPr>
        <w:t>  本《规定》由铜鼓县开放型经济领导小组办公室负责解释。</w:t>
      </w:r>
    </w:p>
    <w:p w:rsidR="00E727B6" w:rsidRPr="00E727B6" w:rsidRDefault="00E727B6" w:rsidP="00E727B6">
      <w:pPr>
        <w:widowControl/>
        <w:shd w:val="clear" w:color="auto" w:fill="FFFFFF"/>
        <w:spacing w:line="68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b/>
          <w:bCs/>
          <w:color w:val="333333"/>
          <w:kern w:val="0"/>
          <w:sz w:val="32"/>
          <w:szCs w:val="32"/>
        </w:rPr>
        <w:t>第三十二条</w:t>
      </w:r>
      <w:r w:rsidRPr="00E727B6">
        <w:rPr>
          <w:rFonts w:ascii="宋体" w:eastAsia="宋体" w:hAnsi="宋体" w:cs="宋体" w:hint="eastAsia"/>
          <w:color w:val="333333"/>
          <w:kern w:val="0"/>
          <w:sz w:val="32"/>
          <w:szCs w:val="32"/>
        </w:rPr>
        <w:t>  本《规定》自下发之日起执行，如与之前文件有抵触，以本《规定》为准。</w:t>
      </w:r>
    </w:p>
    <w:p w:rsidR="00E727B6" w:rsidRPr="00E727B6" w:rsidRDefault="00E727B6" w:rsidP="00E727B6">
      <w:pPr>
        <w:widowControl/>
        <w:shd w:val="clear" w:color="auto" w:fill="FFFFFF"/>
        <w:spacing w:line="640" w:lineRule="atLeast"/>
        <w:ind w:left="675" w:right="675" w:firstLine="645"/>
        <w:jc w:val="left"/>
        <w:rPr>
          <w:rFonts w:ascii="宋体" w:eastAsia="宋体" w:hAnsi="宋体" w:cs="宋体" w:hint="eastAsia"/>
          <w:color w:val="333333"/>
          <w:kern w:val="0"/>
          <w:sz w:val="27"/>
          <w:szCs w:val="27"/>
        </w:rPr>
      </w:pPr>
      <w:r w:rsidRPr="00E727B6">
        <w:rPr>
          <w:rFonts w:ascii="宋体" w:eastAsia="宋体" w:hAnsi="宋体" w:cs="宋体" w:hint="eastAsia"/>
          <w:color w:val="333333"/>
          <w:kern w:val="0"/>
          <w:sz w:val="27"/>
          <w:szCs w:val="27"/>
        </w:rPr>
        <w:t> </w:t>
      </w:r>
    </w:p>
    <w:p w:rsidR="001B0235" w:rsidRPr="00E727B6" w:rsidRDefault="001B0235"/>
    <w:sectPr w:rsidR="001B0235" w:rsidRPr="00E72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08E"/>
    <w:multiLevelType w:val="multilevel"/>
    <w:tmpl w:val="F800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B6"/>
    <w:rsid w:val="001B0235"/>
    <w:rsid w:val="00E72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EFB6F-749B-4770-AEED-AE6EFE4E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27B6"/>
    <w:rPr>
      <w:color w:val="0000FF"/>
      <w:u w:val="single"/>
    </w:rPr>
  </w:style>
  <w:style w:type="character" w:styleId="a4">
    <w:name w:val="Strong"/>
    <w:basedOn w:val="a0"/>
    <w:uiPriority w:val="22"/>
    <w:qFormat/>
    <w:rsid w:val="00E727B6"/>
    <w:rPr>
      <w:b/>
      <w:bCs/>
    </w:rPr>
  </w:style>
  <w:style w:type="character" w:customStyle="1" w:styleId="apple-converted-space">
    <w:name w:val="apple-converted-space"/>
    <w:basedOn w:val="a0"/>
    <w:rsid w:val="00E7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467856">
      <w:bodyDiv w:val="1"/>
      <w:marLeft w:val="0"/>
      <w:marRight w:val="0"/>
      <w:marTop w:val="0"/>
      <w:marBottom w:val="0"/>
      <w:divBdr>
        <w:top w:val="none" w:sz="0" w:space="0" w:color="auto"/>
        <w:left w:val="none" w:sz="0" w:space="0" w:color="auto"/>
        <w:bottom w:val="none" w:sz="0" w:space="0" w:color="auto"/>
        <w:right w:val="none" w:sz="0" w:space="0" w:color="auto"/>
      </w:divBdr>
      <w:divsChild>
        <w:div w:id="816260356">
          <w:marLeft w:val="600"/>
          <w:marRight w:val="600"/>
          <w:marTop w:val="180"/>
          <w:marBottom w:val="0"/>
          <w:divBdr>
            <w:top w:val="none" w:sz="0" w:space="0" w:color="auto"/>
            <w:left w:val="none" w:sz="0" w:space="0" w:color="auto"/>
            <w:bottom w:val="none" w:sz="0" w:space="0" w:color="auto"/>
            <w:right w:val="none" w:sz="0" w:space="0" w:color="auto"/>
          </w:divBdr>
          <w:divsChild>
            <w:div w:id="661927215">
              <w:marLeft w:val="0"/>
              <w:marRight w:val="0"/>
              <w:marTop w:val="0"/>
              <w:marBottom w:val="0"/>
              <w:divBdr>
                <w:top w:val="none" w:sz="0" w:space="0" w:color="auto"/>
                <w:left w:val="none" w:sz="0" w:space="0" w:color="auto"/>
                <w:bottom w:val="none" w:sz="0" w:space="0" w:color="auto"/>
                <w:right w:val="none" w:sz="0" w:space="0" w:color="auto"/>
              </w:divBdr>
            </w:div>
            <w:div w:id="1712343145">
              <w:marLeft w:val="0"/>
              <w:marRight w:val="0"/>
              <w:marTop w:val="0"/>
              <w:marBottom w:val="0"/>
              <w:divBdr>
                <w:top w:val="none" w:sz="0" w:space="0" w:color="auto"/>
                <w:left w:val="none" w:sz="0" w:space="0" w:color="auto"/>
                <w:bottom w:val="none" w:sz="0" w:space="0" w:color="auto"/>
                <w:right w:val="none" w:sz="0" w:space="0" w:color="auto"/>
              </w:divBdr>
            </w:div>
            <w:div w:id="1889101055">
              <w:marLeft w:val="0"/>
              <w:marRight w:val="0"/>
              <w:marTop w:val="0"/>
              <w:marBottom w:val="0"/>
              <w:divBdr>
                <w:top w:val="none" w:sz="0" w:space="0" w:color="auto"/>
                <w:left w:val="none" w:sz="0" w:space="0" w:color="auto"/>
                <w:bottom w:val="none" w:sz="0" w:space="0" w:color="auto"/>
                <w:right w:val="none" w:sz="0" w:space="0" w:color="auto"/>
              </w:divBdr>
            </w:div>
            <w:div w:id="977489106">
              <w:marLeft w:val="0"/>
              <w:marRight w:val="0"/>
              <w:marTop w:val="0"/>
              <w:marBottom w:val="0"/>
              <w:divBdr>
                <w:top w:val="none" w:sz="0" w:space="0" w:color="auto"/>
                <w:left w:val="none" w:sz="0" w:space="0" w:color="auto"/>
                <w:bottom w:val="none" w:sz="0" w:space="0" w:color="auto"/>
                <w:right w:val="none" w:sz="0" w:space="0" w:color="auto"/>
              </w:divBdr>
            </w:div>
            <w:div w:id="1007445867">
              <w:marLeft w:val="0"/>
              <w:marRight w:val="0"/>
              <w:marTop w:val="0"/>
              <w:marBottom w:val="0"/>
              <w:divBdr>
                <w:top w:val="none" w:sz="0" w:space="0" w:color="auto"/>
                <w:left w:val="none" w:sz="0" w:space="0" w:color="auto"/>
                <w:bottom w:val="none" w:sz="0" w:space="0" w:color="auto"/>
                <w:right w:val="none" w:sz="0" w:space="0" w:color="auto"/>
              </w:divBdr>
            </w:div>
            <w:div w:id="160394686">
              <w:marLeft w:val="0"/>
              <w:marRight w:val="0"/>
              <w:marTop w:val="0"/>
              <w:marBottom w:val="0"/>
              <w:divBdr>
                <w:top w:val="none" w:sz="0" w:space="0" w:color="auto"/>
                <w:left w:val="none" w:sz="0" w:space="0" w:color="auto"/>
                <w:bottom w:val="none" w:sz="0" w:space="0" w:color="auto"/>
                <w:right w:val="none" w:sz="0" w:space="0" w:color="auto"/>
              </w:divBdr>
            </w:div>
            <w:div w:id="740950673">
              <w:marLeft w:val="0"/>
              <w:marRight w:val="0"/>
              <w:marTop w:val="0"/>
              <w:marBottom w:val="0"/>
              <w:divBdr>
                <w:top w:val="none" w:sz="0" w:space="0" w:color="auto"/>
                <w:left w:val="none" w:sz="0" w:space="0" w:color="auto"/>
                <w:bottom w:val="none" w:sz="0" w:space="0" w:color="auto"/>
                <w:right w:val="none" w:sz="0" w:space="0" w:color="auto"/>
              </w:divBdr>
            </w:div>
            <w:div w:id="1812015993">
              <w:marLeft w:val="0"/>
              <w:marRight w:val="0"/>
              <w:marTop w:val="0"/>
              <w:marBottom w:val="0"/>
              <w:divBdr>
                <w:top w:val="none" w:sz="0" w:space="0" w:color="auto"/>
                <w:left w:val="none" w:sz="0" w:space="0" w:color="auto"/>
                <w:bottom w:val="none" w:sz="0" w:space="0" w:color="auto"/>
                <w:right w:val="none" w:sz="0" w:space="0" w:color="auto"/>
              </w:divBdr>
            </w:div>
            <w:div w:id="1313754088">
              <w:marLeft w:val="0"/>
              <w:marRight w:val="0"/>
              <w:marTop w:val="0"/>
              <w:marBottom w:val="0"/>
              <w:divBdr>
                <w:top w:val="none" w:sz="0" w:space="0" w:color="auto"/>
                <w:left w:val="none" w:sz="0" w:space="0" w:color="auto"/>
                <w:bottom w:val="none" w:sz="0" w:space="0" w:color="auto"/>
                <w:right w:val="none" w:sz="0" w:space="0" w:color="auto"/>
              </w:divBdr>
            </w:div>
            <w:div w:id="342512584">
              <w:marLeft w:val="0"/>
              <w:marRight w:val="0"/>
              <w:marTop w:val="0"/>
              <w:marBottom w:val="0"/>
              <w:divBdr>
                <w:top w:val="none" w:sz="0" w:space="0" w:color="auto"/>
                <w:left w:val="none" w:sz="0" w:space="0" w:color="auto"/>
                <w:bottom w:val="none" w:sz="0" w:space="0" w:color="auto"/>
                <w:right w:val="none" w:sz="0" w:space="0" w:color="auto"/>
              </w:divBdr>
            </w:div>
            <w:div w:id="1046106069">
              <w:marLeft w:val="0"/>
              <w:marRight w:val="0"/>
              <w:marTop w:val="0"/>
              <w:marBottom w:val="0"/>
              <w:divBdr>
                <w:top w:val="none" w:sz="0" w:space="0" w:color="auto"/>
                <w:left w:val="none" w:sz="0" w:space="0" w:color="auto"/>
                <w:bottom w:val="none" w:sz="0" w:space="0" w:color="auto"/>
                <w:right w:val="none" w:sz="0" w:space="0" w:color="auto"/>
              </w:divBdr>
            </w:div>
            <w:div w:id="806357917">
              <w:marLeft w:val="0"/>
              <w:marRight w:val="0"/>
              <w:marTop w:val="0"/>
              <w:marBottom w:val="0"/>
              <w:divBdr>
                <w:top w:val="none" w:sz="0" w:space="0" w:color="auto"/>
                <w:left w:val="none" w:sz="0" w:space="0" w:color="auto"/>
                <w:bottom w:val="none" w:sz="0" w:space="0" w:color="auto"/>
                <w:right w:val="none" w:sz="0" w:space="0" w:color="auto"/>
              </w:divBdr>
            </w:div>
            <w:div w:id="456066046">
              <w:marLeft w:val="0"/>
              <w:marRight w:val="0"/>
              <w:marTop w:val="0"/>
              <w:marBottom w:val="0"/>
              <w:divBdr>
                <w:top w:val="none" w:sz="0" w:space="0" w:color="auto"/>
                <w:left w:val="none" w:sz="0" w:space="0" w:color="auto"/>
                <w:bottom w:val="none" w:sz="0" w:space="0" w:color="auto"/>
                <w:right w:val="none" w:sz="0" w:space="0" w:color="auto"/>
              </w:divBdr>
            </w:div>
            <w:div w:id="580452465">
              <w:marLeft w:val="0"/>
              <w:marRight w:val="0"/>
              <w:marTop w:val="0"/>
              <w:marBottom w:val="0"/>
              <w:divBdr>
                <w:top w:val="none" w:sz="0" w:space="0" w:color="auto"/>
                <w:left w:val="none" w:sz="0" w:space="0" w:color="auto"/>
                <w:bottom w:val="none" w:sz="0" w:space="0" w:color="auto"/>
                <w:right w:val="none" w:sz="0" w:space="0" w:color="auto"/>
              </w:divBdr>
            </w:div>
            <w:div w:id="44452006">
              <w:marLeft w:val="0"/>
              <w:marRight w:val="0"/>
              <w:marTop w:val="0"/>
              <w:marBottom w:val="0"/>
              <w:divBdr>
                <w:top w:val="none" w:sz="0" w:space="0" w:color="auto"/>
                <w:left w:val="none" w:sz="0" w:space="0" w:color="auto"/>
                <w:bottom w:val="none" w:sz="0" w:space="0" w:color="auto"/>
                <w:right w:val="none" w:sz="0" w:space="0" w:color="auto"/>
              </w:divBdr>
            </w:div>
            <w:div w:id="396172919">
              <w:marLeft w:val="0"/>
              <w:marRight w:val="0"/>
              <w:marTop w:val="0"/>
              <w:marBottom w:val="0"/>
              <w:divBdr>
                <w:top w:val="none" w:sz="0" w:space="0" w:color="auto"/>
                <w:left w:val="none" w:sz="0" w:space="0" w:color="auto"/>
                <w:bottom w:val="none" w:sz="0" w:space="0" w:color="auto"/>
                <w:right w:val="none" w:sz="0" w:space="0" w:color="auto"/>
              </w:divBdr>
            </w:div>
            <w:div w:id="1560634444">
              <w:marLeft w:val="0"/>
              <w:marRight w:val="0"/>
              <w:marTop w:val="0"/>
              <w:marBottom w:val="0"/>
              <w:divBdr>
                <w:top w:val="none" w:sz="0" w:space="0" w:color="auto"/>
                <w:left w:val="none" w:sz="0" w:space="0" w:color="auto"/>
                <w:bottom w:val="none" w:sz="0" w:space="0" w:color="auto"/>
                <w:right w:val="none" w:sz="0" w:space="0" w:color="auto"/>
              </w:divBdr>
            </w:div>
            <w:div w:id="1384981760">
              <w:marLeft w:val="0"/>
              <w:marRight w:val="0"/>
              <w:marTop w:val="0"/>
              <w:marBottom w:val="0"/>
              <w:divBdr>
                <w:top w:val="none" w:sz="0" w:space="0" w:color="auto"/>
                <w:left w:val="none" w:sz="0" w:space="0" w:color="auto"/>
                <w:bottom w:val="none" w:sz="0" w:space="0" w:color="auto"/>
                <w:right w:val="none" w:sz="0" w:space="0" w:color="auto"/>
              </w:divBdr>
            </w:div>
            <w:div w:id="159274720">
              <w:marLeft w:val="0"/>
              <w:marRight w:val="0"/>
              <w:marTop w:val="0"/>
              <w:marBottom w:val="0"/>
              <w:divBdr>
                <w:top w:val="none" w:sz="0" w:space="0" w:color="auto"/>
                <w:left w:val="none" w:sz="0" w:space="0" w:color="auto"/>
                <w:bottom w:val="none" w:sz="0" w:space="0" w:color="auto"/>
                <w:right w:val="none" w:sz="0" w:space="0" w:color="auto"/>
              </w:divBdr>
            </w:div>
            <w:div w:id="1989901629">
              <w:marLeft w:val="0"/>
              <w:marRight w:val="0"/>
              <w:marTop w:val="0"/>
              <w:marBottom w:val="0"/>
              <w:divBdr>
                <w:top w:val="none" w:sz="0" w:space="0" w:color="auto"/>
                <w:left w:val="none" w:sz="0" w:space="0" w:color="auto"/>
                <w:bottom w:val="none" w:sz="0" w:space="0" w:color="auto"/>
                <w:right w:val="none" w:sz="0" w:space="0" w:color="auto"/>
              </w:divBdr>
            </w:div>
            <w:div w:id="1003166590">
              <w:marLeft w:val="0"/>
              <w:marRight w:val="0"/>
              <w:marTop w:val="0"/>
              <w:marBottom w:val="0"/>
              <w:divBdr>
                <w:top w:val="none" w:sz="0" w:space="0" w:color="auto"/>
                <w:left w:val="none" w:sz="0" w:space="0" w:color="auto"/>
                <w:bottom w:val="none" w:sz="0" w:space="0" w:color="auto"/>
                <w:right w:val="none" w:sz="0" w:space="0" w:color="auto"/>
              </w:divBdr>
            </w:div>
            <w:div w:id="1273854733">
              <w:marLeft w:val="0"/>
              <w:marRight w:val="0"/>
              <w:marTop w:val="0"/>
              <w:marBottom w:val="0"/>
              <w:divBdr>
                <w:top w:val="none" w:sz="0" w:space="0" w:color="auto"/>
                <w:left w:val="none" w:sz="0" w:space="0" w:color="auto"/>
                <w:bottom w:val="none" w:sz="0" w:space="0" w:color="auto"/>
                <w:right w:val="none" w:sz="0" w:space="0" w:color="auto"/>
              </w:divBdr>
            </w:div>
            <w:div w:id="1059279985">
              <w:marLeft w:val="0"/>
              <w:marRight w:val="0"/>
              <w:marTop w:val="0"/>
              <w:marBottom w:val="0"/>
              <w:divBdr>
                <w:top w:val="none" w:sz="0" w:space="0" w:color="auto"/>
                <w:left w:val="none" w:sz="0" w:space="0" w:color="auto"/>
                <w:bottom w:val="none" w:sz="0" w:space="0" w:color="auto"/>
                <w:right w:val="none" w:sz="0" w:space="0" w:color="auto"/>
              </w:divBdr>
            </w:div>
            <w:div w:id="40637156">
              <w:marLeft w:val="0"/>
              <w:marRight w:val="0"/>
              <w:marTop w:val="0"/>
              <w:marBottom w:val="0"/>
              <w:divBdr>
                <w:top w:val="none" w:sz="0" w:space="0" w:color="auto"/>
                <w:left w:val="none" w:sz="0" w:space="0" w:color="auto"/>
                <w:bottom w:val="none" w:sz="0" w:space="0" w:color="auto"/>
                <w:right w:val="none" w:sz="0" w:space="0" w:color="auto"/>
              </w:divBdr>
            </w:div>
            <w:div w:id="1215771425">
              <w:marLeft w:val="0"/>
              <w:marRight w:val="0"/>
              <w:marTop w:val="0"/>
              <w:marBottom w:val="0"/>
              <w:divBdr>
                <w:top w:val="none" w:sz="0" w:space="0" w:color="auto"/>
                <w:left w:val="none" w:sz="0" w:space="0" w:color="auto"/>
                <w:bottom w:val="none" w:sz="0" w:space="0" w:color="auto"/>
                <w:right w:val="none" w:sz="0" w:space="0" w:color="auto"/>
              </w:divBdr>
            </w:div>
            <w:div w:id="534972041">
              <w:marLeft w:val="0"/>
              <w:marRight w:val="0"/>
              <w:marTop w:val="0"/>
              <w:marBottom w:val="0"/>
              <w:divBdr>
                <w:top w:val="none" w:sz="0" w:space="0" w:color="auto"/>
                <w:left w:val="none" w:sz="0" w:space="0" w:color="auto"/>
                <w:bottom w:val="none" w:sz="0" w:space="0" w:color="auto"/>
                <w:right w:val="none" w:sz="0" w:space="0" w:color="auto"/>
              </w:divBdr>
            </w:div>
            <w:div w:id="1226257968">
              <w:marLeft w:val="0"/>
              <w:marRight w:val="0"/>
              <w:marTop w:val="0"/>
              <w:marBottom w:val="0"/>
              <w:divBdr>
                <w:top w:val="none" w:sz="0" w:space="0" w:color="auto"/>
                <w:left w:val="none" w:sz="0" w:space="0" w:color="auto"/>
                <w:bottom w:val="none" w:sz="0" w:space="0" w:color="auto"/>
                <w:right w:val="none" w:sz="0" w:space="0" w:color="auto"/>
              </w:divBdr>
            </w:div>
            <w:div w:id="1945991612">
              <w:marLeft w:val="0"/>
              <w:marRight w:val="0"/>
              <w:marTop w:val="0"/>
              <w:marBottom w:val="0"/>
              <w:divBdr>
                <w:top w:val="none" w:sz="0" w:space="0" w:color="auto"/>
                <w:left w:val="none" w:sz="0" w:space="0" w:color="auto"/>
                <w:bottom w:val="none" w:sz="0" w:space="0" w:color="auto"/>
                <w:right w:val="none" w:sz="0" w:space="0" w:color="auto"/>
              </w:divBdr>
            </w:div>
            <w:div w:id="1130127429">
              <w:marLeft w:val="0"/>
              <w:marRight w:val="0"/>
              <w:marTop w:val="0"/>
              <w:marBottom w:val="0"/>
              <w:divBdr>
                <w:top w:val="none" w:sz="0" w:space="0" w:color="auto"/>
                <w:left w:val="none" w:sz="0" w:space="0" w:color="auto"/>
                <w:bottom w:val="none" w:sz="0" w:space="0" w:color="auto"/>
                <w:right w:val="none" w:sz="0" w:space="0" w:color="auto"/>
              </w:divBdr>
            </w:div>
            <w:div w:id="1246449892">
              <w:marLeft w:val="0"/>
              <w:marRight w:val="0"/>
              <w:marTop w:val="0"/>
              <w:marBottom w:val="0"/>
              <w:divBdr>
                <w:top w:val="none" w:sz="0" w:space="0" w:color="auto"/>
                <w:left w:val="none" w:sz="0" w:space="0" w:color="auto"/>
                <w:bottom w:val="none" w:sz="0" w:space="0" w:color="auto"/>
                <w:right w:val="none" w:sz="0" w:space="0" w:color="auto"/>
              </w:divBdr>
            </w:div>
            <w:div w:id="1369986931">
              <w:marLeft w:val="0"/>
              <w:marRight w:val="0"/>
              <w:marTop w:val="0"/>
              <w:marBottom w:val="0"/>
              <w:divBdr>
                <w:top w:val="none" w:sz="0" w:space="0" w:color="auto"/>
                <w:left w:val="none" w:sz="0" w:space="0" w:color="auto"/>
                <w:bottom w:val="none" w:sz="0" w:space="0" w:color="auto"/>
                <w:right w:val="none" w:sz="0" w:space="0" w:color="auto"/>
              </w:divBdr>
            </w:div>
            <w:div w:id="1743991673">
              <w:marLeft w:val="0"/>
              <w:marRight w:val="0"/>
              <w:marTop w:val="0"/>
              <w:marBottom w:val="0"/>
              <w:divBdr>
                <w:top w:val="none" w:sz="0" w:space="0" w:color="auto"/>
                <w:left w:val="none" w:sz="0" w:space="0" w:color="auto"/>
                <w:bottom w:val="none" w:sz="0" w:space="0" w:color="auto"/>
                <w:right w:val="none" w:sz="0" w:space="0" w:color="auto"/>
              </w:divBdr>
            </w:div>
            <w:div w:id="1307735544">
              <w:marLeft w:val="0"/>
              <w:marRight w:val="0"/>
              <w:marTop w:val="0"/>
              <w:marBottom w:val="0"/>
              <w:divBdr>
                <w:top w:val="none" w:sz="0" w:space="0" w:color="auto"/>
                <w:left w:val="none" w:sz="0" w:space="0" w:color="auto"/>
                <w:bottom w:val="none" w:sz="0" w:space="0" w:color="auto"/>
                <w:right w:val="none" w:sz="0" w:space="0" w:color="auto"/>
              </w:divBdr>
            </w:div>
            <w:div w:id="1631015046">
              <w:marLeft w:val="0"/>
              <w:marRight w:val="0"/>
              <w:marTop w:val="0"/>
              <w:marBottom w:val="0"/>
              <w:divBdr>
                <w:top w:val="none" w:sz="0" w:space="0" w:color="auto"/>
                <w:left w:val="none" w:sz="0" w:space="0" w:color="auto"/>
                <w:bottom w:val="none" w:sz="0" w:space="0" w:color="auto"/>
                <w:right w:val="none" w:sz="0" w:space="0" w:color="auto"/>
              </w:divBdr>
            </w:div>
            <w:div w:id="1043016400">
              <w:marLeft w:val="0"/>
              <w:marRight w:val="0"/>
              <w:marTop w:val="0"/>
              <w:marBottom w:val="0"/>
              <w:divBdr>
                <w:top w:val="none" w:sz="0" w:space="0" w:color="auto"/>
                <w:left w:val="none" w:sz="0" w:space="0" w:color="auto"/>
                <w:bottom w:val="none" w:sz="0" w:space="0" w:color="auto"/>
                <w:right w:val="none" w:sz="0" w:space="0" w:color="auto"/>
              </w:divBdr>
            </w:div>
            <w:div w:id="2002272032">
              <w:marLeft w:val="0"/>
              <w:marRight w:val="0"/>
              <w:marTop w:val="0"/>
              <w:marBottom w:val="0"/>
              <w:divBdr>
                <w:top w:val="none" w:sz="0" w:space="0" w:color="auto"/>
                <w:left w:val="none" w:sz="0" w:space="0" w:color="auto"/>
                <w:bottom w:val="none" w:sz="0" w:space="0" w:color="auto"/>
                <w:right w:val="none" w:sz="0" w:space="0" w:color="auto"/>
              </w:divBdr>
            </w:div>
            <w:div w:id="1264336583">
              <w:marLeft w:val="0"/>
              <w:marRight w:val="0"/>
              <w:marTop w:val="0"/>
              <w:marBottom w:val="0"/>
              <w:divBdr>
                <w:top w:val="none" w:sz="0" w:space="0" w:color="auto"/>
                <w:left w:val="none" w:sz="0" w:space="0" w:color="auto"/>
                <w:bottom w:val="none" w:sz="0" w:space="0" w:color="auto"/>
                <w:right w:val="none" w:sz="0" w:space="0" w:color="auto"/>
              </w:divBdr>
            </w:div>
            <w:div w:id="96799880">
              <w:marLeft w:val="0"/>
              <w:marRight w:val="0"/>
              <w:marTop w:val="0"/>
              <w:marBottom w:val="0"/>
              <w:divBdr>
                <w:top w:val="none" w:sz="0" w:space="0" w:color="auto"/>
                <w:left w:val="none" w:sz="0" w:space="0" w:color="auto"/>
                <w:bottom w:val="none" w:sz="0" w:space="0" w:color="auto"/>
                <w:right w:val="none" w:sz="0" w:space="0" w:color="auto"/>
              </w:divBdr>
            </w:div>
            <w:div w:id="1247232199">
              <w:marLeft w:val="0"/>
              <w:marRight w:val="0"/>
              <w:marTop w:val="0"/>
              <w:marBottom w:val="0"/>
              <w:divBdr>
                <w:top w:val="none" w:sz="0" w:space="0" w:color="auto"/>
                <w:left w:val="none" w:sz="0" w:space="0" w:color="auto"/>
                <w:bottom w:val="none" w:sz="0" w:space="0" w:color="auto"/>
                <w:right w:val="none" w:sz="0" w:space="0" w:color="auto"/>
              </w:divBdr>
            </w:div>
            <w:div w:id="918371053">
              <w:marLeft w:val="0"/>
              <w:marRight w:val="0"/>
              <w:marTop w:val="0"/>
              <w:marBottom w:val="0"/>
              <w:divBdr>
                <w:top w:val="none" w:sz="0" w:space="0" w:color="auto"/>
                <w:left w:val="none" w:sz="0" w:space="0" w:color="auto"/>
                <w:bottom w:val="none" w:sz="0" w:space="0" w:color="auto"/>
                <w:right w:val="none" w:sz="0" w:space="0" w:color="auto"/>
              </w:divBdr>
            </w:div>
            <w:div w:id="644315567">
              <w:marLeft w:val="0"/>
              <w:marRight w:val="0"/>
              <w:marTop w:val="0"/>
              <w:marBottom w:val="0"/>
              <w:divBdr>
                <w:top w:val="none" w:sz="0" w:space="0" w:color="auto"/>
                <w:left w:val="none" w:sz="0" w:space="0" w:color="auto"/>
                <w:bottom w:val="none" w:sz="0" w:space="0" w:color="auto"/>
                <w:right w:val="none" w:sz="0" w:space="0" w:color="auto"/>
              </w:divBdr>
            </w:div>
            <w:div w:id="1448549697">
              <w:marLeft w:val="0"/>
              <w:marRight w:val="0"/>
              <w:marTop w:val="0"/>
              <w:marBottom w:val="0"/>
              <w:divBdr>
                <w:top w:val="none" w:sz="0" w:space="0" w:color="auto"/>
                <w:left w:val="none" w:sz="0" w:space="0" w:color="auto"/>
                <w:bottom w:val="none" w:sz="0" w:space="0" w:color="auto"/>
                <w:right w:val="none" w:sz="0" w:space="0" w:color="auto"/>
              </w:divBdr>
            </w:div>
            <w:div w:id="1388871510">
              <w:marLeft w:val="0"/>
              <w:marRight w:val="0"/>
              <w:marTop w:val="0"/>
              <w:marBottom w:val="0"/>
              <w:divBdr>
                <w:top w:val="none" w:sz="0" w:space="0" w:color="auto"/>
                <w:left w:val="none" w:sz="0" w:space="0" w:color="auto"/>
                <w:bottom w:val="none" w:sz="0" w:space="0" w:color="auto"/>
                <w:right w:val="none" w:sz="0" w:space="0" w:color="auto"/>
              </w:divBdr>
            </w:div>
            <w:div w:id="569536193">
              <w:marLeft w:val="0"/>
              <w:marRight w:val="0"/>
              <w:marTop w:val="0"/>
              <w:marBottom w:val="0"/>
              <w:divBdr>
                <w:top w:val="none" w:sz="0" w:space="0" w:color="auto"/>
                <w:left w:val="none" w:sz="0" w:space="0" w:color="auto"/>
                <w:bottom w:val="none" w:sz="0" w:space="0" w:color="auto"/>
                <w:right w:val="none" w:sz="0" w:space="0" w:color="auto"/>
              </w:divBdr>
            </w:div>
            <w:div w:id="50159145">
              <w:marLeft w:val="0"/>
              <w:marRight w:val="0"/>
              <w:marTop w:val="0"/>
              <w:marBottom w:val="0"/>
              <w:divBdr>
                <w:top w:val="none" w:sz="0" w:space="0" w:color="auto"/>
                <w:left w:val="none" w:sz="0" w:space="0" w:color="auto"/>
                <w:bottom w:val="none" w:sz="0" w:space="0" w:color="auto"/>
                <w:right w:val="none" w:sz="0" w:space="0" w:color="auto"/>
              </w:divBdr>
            </w:div>
            <w:div w:id="1630357599">
              <w:marLeft w:val="0"/>
              <w:marRight w:val="0"/>
              <w:marTop w:val="0"/>
              <w:marBottom w:val="0"/>
              <w:divBdr>
                <w:top w:val="none" w:sz="0" w:space="0" w:color="auto"/>
                <w:left w:val="none" w:sz="0" w:space="0" w:color="auto"/>
                <w:bottom w:val="none" w:sz="0" w:space="0" w:color="auto"/>
                <w:right w:val="none" w:sz="0" w:space="0" w:color="auto"/>
              </w:divBdr>
            </w:div>
            <w:div w:id="327097036">
              <w:marLeft w:val="0"/>
              <w:marRight w:val="0"/>
              <w:marTop w:val="0"/>
              <w:marBottom w:val="0"/>
              <w:divBdr>
                <w:top w:val="none" w:sz="0" w:space="0" w:color="auto"/>
                <w:left w:val="none" w:sz="0" w:space="0" w:color="auto"/>
                <w:bottom w:val="none" w:sz="0" w:space="0" w:color="auto"/>
                <w:right w:val="none" w:sz="0" w:space="0" w:color="auto"/>
              </w:divBdr>
            </w:div>
            <w:div w:id="2727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naacc.com/web/licai/"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2018-05-21T06:52:00Z</dcterms:created>
  <dcterms:modified xsi:type="dcterms:W3CDTF">2018-05-21T06:53:00Z</dcterms:modified>
</cp:coreProperties>
</file>