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5D" w:rsidRPr="00A67A5D" w:rsidRDefault="00A67A5D" w:rsidP="00A67A5D">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A67A5D">
        <w:rPr>
          <w:rFonts w:ascii="微软雅黑" w:eastAsia="微软雅黑" w:hAnsi="微软雅黑" w:cs="宋体" w:hint="eastAsia"/>
          <w:b/>
          <w:bCs/>
          <w:color w:val="333333"/>
          <w:kern w:val="36"/>
          <w:sz w:val="36"/>
          <w:szCs w:val="36"/>
        </w:rPr>
        <w:t>随县招商引资优惠政策</w:t>
      </w:r>
    </w:p>
    <w:bookmarkEnd w:id="0"/>
    <w:p w:rsidR="00A67A5D" w:rsidRPr="00A67A5D" w:rsidRDefault="00A67A5D" w:rsidP="00A67A5D">
      <w:pPr>
        <w:widowControl/>
        <w:shd w:val="clear" w:color="auto" w:fill="F7F7FF"/>
        <w:spacing w:before="100" w:beforeAutospacing="1" w:after="100" w:afterAutospacing="1" w:line="405" w:lineRule="atLeast"/>
        <w:jc w:val="left"/>
        <w:outlineLvl w:val="1"/>
        <w:rPr>
          <w:rFonts w:ascii="微软雅黑" w:eastAsia="微软雅黑" w:hAnsi="微软雅黑" w:cs="宋体" w:hint="eastAsia"/>
          <w:color w:val="212E64"/>
          <w:kern w:val="0"/>
          <w:sz w:val="18"/>
          <w:szCs w:val="18"/>
        </w:rPr>
      </w:pPr>
      <w:r w:rsidRPr="00A67A5D">
        <w:rPr>
          <w:rFonts w:ascii="微软雅黑" w:eastAsia="微软雅黑" w:hAnsi="微软雅黑" w:cs="宋体" w:hint="eastAsia"/>
          <w:color w:val="608FAF"/>
          <w:kern w:val="0"/>
          <w:sz w:val="18"/>
          <w:szCs w:val="18"/>
        </w:rPr>
        <w:t>◆</w:t>
      </w:r>
      <w:r w:rsidRPr="00A67A5D">
        <w:rPr>
          <w:rFonts w:ascii="微软雅黑" w:eastAsia="微软雅黑" w:hAnsi="微软雅黑" w:cs="宋体" w:hint="eastAsia"/>
          <w:color w:val="212E64"/>
          <w:kern w:val="0"/>
          <w:sz w:val="18"/>
          <w:szCs w:val="18"/>
        </w:rPr>
        <w:t>第一条 为充分调动全社会招商引资积极性，加快对外开放步伐，吸引国内外客商来随县投资兴业，促进随县经济和社会发展，根据有关法律法规和上级有关规定，结合本地实际，制定本</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第一条</w:t>
      </w:r>
      <w:r w:rsidRPr="00A67A5D">
        <w:rPr>
          <w:rFonts w:ascii="微软雅黑" w:eastAsia="微软雅黑" w:hAnsi="微软雅黑" w:cs="宋体" w:hint="eastAsia"/>
          <w:color w:val="444444"/>
          <w:kern w:val="0"/>
          <w:sz w:val="24"/>
          <w:szCs w:val="24"/>
        </w:rPr>
        <w:t xml:space="preserve"> 为充分调动全社会</w:t>
      </w:r>
      <w:hyperlink r:id="rId4" w:tgtFrame="_blank" w:history="1">
        <w:r w:rsidRPr="00A67A5D">
          <w:rPr>
            <w:rFonts w:ascii="微软雅黑" w:eastAsia="微软雅黑" w:hAnsi="微软雅黑" w:cs="宋体" w:hint="eastAsia"/>
            <w:color w:val="CC0000"/>
            <w:kern w:val="0"/>
            <w:sz w:val="24"/>
            <w:szCs w:val="24"/>
          </w:rPr>
          <w:t>招商引资</w:t>
        </w:r>
      </w:hyperlink>
      <w:r w:rsidRPr="00A67A5D">
        <w:rPr>
          <w:rFonts w:ascii="微软雅黑" w:eastAsia="微软雅黑" w:hAnsi="微软雅黑" w:cs="宋体" w:hint="eastAsia"/>
          <w:color w:val="444444"/>
          <w:kern w:val="0"/>
          <w:sz w:val="24"/>
          <w:szCs w:val="24"/>
        </w:rPr>
        <w:t>积极性，加快对外开放步伐，吸引国内外客商来随县</w:t>
      </w:r>
      <w:hyperlink r:id="rId5" w:tgtFrame="_blank" w:history="1">
        <w:r w:rsidRPr="00A67A5D">
          <w:rPr>
            <w:rFonts w:ascii="微软雅黑" w:eastAsia="微软雅黑" w:hAnsi="微软雅黑" w:cs="宋体" w:hint="eastAsia"/>
            <w:color w:val="CC0000"/>
            <w:kern w:val="0"/>
            <w:sz w:val="24"/>
            <w:szCs w:val="24"/>
          </w:rPr>
          <w:t>投资</w:t>
        </w:r>
      </w:hyperlink>
      <w:r w:rsidRPr="00A67A5D">
        <w:rPr>
          <w:rFonts w:ascii="微软雅黑" w:eastAsia="微软雅黑" w:hAnsi="微软雅黑" w:cs="宋体" w:hint="eastAsia"/>
          <w:color w:val="444444"/>
          <w:kern w:val="0"/>
          <w:sz w:val="24"/>
          <w:szCs w:val="24"/>
        </w:rPr>
        <w:t>兴业，促进随县经济和社会发展，根据有关法律法规和上级有关规定，结合本地实际，制定本规定。</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第二条</w:t>
      </w:r>
      <w:r w:rsidRPr="00A67A5D">
        <w:rPr>
          <w:rFonts w:ascii="微软雅黑" w:eastAsia="微软雅黑" w:hAnsi="微软雅黑" w:cs="宋体" w:hint="eastAsia"/>
          <w:color w:val="444444"/>
          <w:kern w:val="0"/>
          <w:sz w:val="24"/>
          <w:szCs w:val="24"/>
        </w:rPr>
        <w:t xml:space="preserve"> 投资者可以资金、设备、品牌、产权、专利等方式投资，在本县境内兴办独资、合资、合作企业，也可以收购、承包、租赁企业。</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第三条</w:t>
      </w:r>
      <w:r w:rsidRPr="00A67A5D">
        <w:rPr>
          <w:rFonts w:ascii="微软雅黑" w:eastAsia="微软雅黑" w:hAnsi="微软雅黑" w:cs="宋体" w:hint="eastAsia"/>
          <w:color w:val="444444"/>
          <w:kern w:val="0"/>
          <w:sz w:val="24"/>
          <w:szCs w:val="24"/>
        </w:rPr>
        <w:t xml:space="preserve"> 投资者投资工业、创汇</w:t>
      </w:r>
      <w:hyperlink r:id="rId6" w:tgtFrame="_blank" w:history="1">
        <w:r w:rsidRPr="00A67A5D">
          <w:rPr>
            <w:rFonts w:ascii="微软雅黑" w:eastAsia="微软雅黑" w:hAnsi="微软雅黑" w:cs="宋体" w:hint="eastAsia"/>
            <w:color w:val="CC0000"/>
            <w:kern w:val="0"/>
            <w:sz w:val="24"/>
            <w:szCs w:val="24"/>
          </w:rPr>
          <w:t>农业</w:t>
        </w:r>
      </w:hyperlink>
      <w:r w:rsidRPr="00A67A5D">
        <w:rPr>
          <w:rFonts w:ascii="微软雅黑" w:eastAsia="微软雅黑" w:hAnsi="微软雅黑" w:cs="宋体" w:hint="eastAsia"/>
          <w:color w:val="444444"/>
          <w:kern w:val="0"/>
          <w:sz w:val="24"/>
          <w:szCs w:val="24"/>
        </w:rPr>
        <w:t>等符合国家产业政策的项目，实际固定资产投资额达到3000万元以上且每亩投资强度达100万元以上(</w:t>
      </w:r>
      <w:hyperlink r:id="rId7" w:tgtFrame="_blank" w:history="1">
        <w:r w:rsidRPr="00A67A5D">
          <w:rPr>
            <w:rFonts w:ascii="微软雅黑" w:eastAsia="微软雅黑" w:hAnsi="微软雅黑" w:cs="宋体" w:hint="eastAsia"/>
            <w:color w:val="CC0000"/>
            <w:kern w:val="0"/>
            <w:sz w:val="24"/>
            <w:szCs w:val="24"/>
          </w:rPr>
          <w:t>房地产</w:t>
        </w:r>
      </w:hyperlink>
      <w:r w:rsidRPr="00A67A5D">
        <w:rPr>
          <w:rFonts w:ascii="微软雅黑" w:eastAsia="微软雅黑" w:hAnsi="微软雅黑" w:cs="宋体" w:hint="eastAsia"/>
          <w:color w:val="444444"/>
          <w:kern w:val="0"/>
          <w:sz w:val="24"/>
          <w:szCs w:val="24"/>
        </w:rPr>
        <w:t>开发项目和商贸项目除外);以上类型企业新征土地增资扩能增加固定资产投入3000万元以上的，均适用本规定。</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第四条</w:t>
      </w:r>
      <w:r w:rsidRPr="00A67A5D">
        <w:rPr>
          <w:rFonts w:ascii="微软雅黑" w:eastAsia="微软雅黑" w:hAnsi="微软雅黑" w:cs="宋体" w:hint="eastAsia"/>
          <w:color w:val="444444"/>
          <w:kern w:val="0"/>
          <w:sz w:val="24"/>
          <w:szCs w:val="24"/>
        </w:rPr>
        <w:t xml:space="preserve"> 投资企业除享受国家规定的税费优惠政策外，凡符合本规定第三条的，其企业所得税地方留成部分，从投产之日起，第1至2年全额奖励该企业，第3至5年50%奖励该企业，支持企业发展壮大。</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第五条</w:t>
      </w:r>
      <w:r w:rsidRPr="00A67A5D">
        <w:rPr>
          <w:rFonts w:ascii="微软雅黑" w:eastAsia="微软雅黑" w:hAnsi="微软雅黑" w:cs="宋体" w:hint="eastAsia"/>
          <w:color w:val="444444"/>
          <w:kern w:val="0"/>
          <w:sz w:val="24"/>
          <w:szCs w:val="24"/>
        </w:rPr>
        <w:t xml:space="preserve"> 投资企业在行政审批环节的地方行政性收费一律免收。服务性收费均按收费标准下限的30%收取。</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第六条</w:t>
      </w:r>
      <w:r w:rsidRPr="00A67A5D">
        <w:rPr>
          <w:rFonts w:ascii="微软雅黑" w:eastAsia="微软雅黑" w:hAnsi="微软雅黑" w:cs="宋体" w:hint="eastAsia"/>
          <w:color w:val="444444"/>
          <w:kern w:val="0"/>
          <w:sz w:val="24"/>
          <w:szCs w:val="24"/>
        </w:rPr>
        <w:t xml:space="preserve"> 生产性投资企业，除执行国家现有的优惠政策外，</w:t>
      </w:r>
      <w:proofErr w:type="gramStart"/>
      <w:r w:rsidRPr="00A67A5D">
        <w:rPr>
          <w:rFonts w:ascii="微软雅黑" w:eastAsia="微软雅黑" w:hAnsi="微软雅黑" w:cs="宋体" w:hint="eastAsia"/>
          <w:color w:val="444444"/>
          <w:kern w:val="0"/>
          <w:sz w:val="24"/>
          <w:szCs w:val="24"/>
        </w:rPr>
        <w:t>另申请</w:t>
      </w:r>
      <w:proofErr w:type="gramEnd"/>
      <w:r w:rsidRPr="00A67A5D">
        <w:rPr>
          <w:rFonts w:ascii="微软雅黑" w:eastAsia="微软雅黑" w:hAnsi="微软雅黑" w:cs="宋体" w:hint="eastAsia"/>
          <w:color w:val="444444"/>
          <w:kern w:val="0"/>
          <w:sz w:val="24"/>
          <w:szCs w:val="24"/>
        </w:rPr>
        <w:t>免征市政建设配套费、增容费、</w:t>
      </w:r>
      <w:hyperlink r:id="rId8" w:tgtFrame="_blank" w:history="1">
        <w:r w:rsidRPr="00A67A5D">
          <w:rPr>
            <w:rFonts w:ascii="微软雅黑" w:eastAsia="微软雅黑" w:hAnsi="微软雅黑" w:cs="宋体" w:hint="eastAsia"/>
            <w:color w:val="CC0000"/>
            <w:kern w:val="0"/>
            <w:sz w:val="24"/>
            <w:szCs w:val="24"/>
          </w:rPr>
          <w:t>绿化</w:t>
        </w:r>
      </w:hyperlink>
      <w:r w:rsidRPr="00A67A5D">
        <w:rPr>
          <w:rFonts w:ascii="微软雅黑" w:eastAsia="微软雅黑" w:hAnsi="微软雅黑" w:cs="宋体" w:hint="eastAsia"/>
          <w:color w:val="444444"/>
          <w:kern w:val="0"/>
          <w:sz w:val="24"/>
          <w:szCs w:val="24"/>
        </w:rPr>
        <w:t>费、墙改费、免收购置生产经营用房的交易手续费。</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lastRenderedPageBreak/>
        <w:t xml:space="preserve">　　</w:t>
      </w:r>
      <w:r w:rsidRPr="00A67A5D">
        <w:rPr>
          <w:rFonts w:ascii="微软雅黑" w:eastAsia="微软雅黑" w:hAnsi="微软雅黑" w:cs="宋体" w:hint="eastAsia"/>
          <w:b/>
          <w:bCs/>
          <w:color w:val="444444"/>
          <w:kern w:val="0"/>
          <w:sz w:val="24"/>
          <w:szCs w:val="24"/>
        </w:rPr>
        <w:t>第七条</w:t>
      </w:r>
      <w:r w:rsidRPr="00A67A5D">
        <w:rPr>
          <w:rFonts w:ascii="微软雅黑" w:eastAsia="微软雅黑" w:hAnsi="微软雅黑" w:cs="宋体" w:hint="eastAsia"/>
          <w:color w:val="444444"/>
          <w:kern w:val="0"/>
          <w:sz w:val="24"/>
          <w:szCs w:val="24"/>
        </w:rPr>
        <w:t xml:space="preserve"> 外商投资企业年检免除一切费用。对连续3年以上无违法违规行为、经营情况良好的外商投资企业，免予年检。</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第八条</w:t>
      </w:r>
      <w:r w:rsidRPr="00A67A5D">
        <w:rPr>
          <w:rFonts w:ascii="微软雅黑" w:eastAsia="微软雅黑" w:hAnsi="微软雅黑" w:cs="宋体" w:hint="eastAsia"/>
          <w:color w:val="444444"/>
          <w:kern w:val="0"/>
          <w:sz w:val="24"/>
          <w:szCs w:val="24"/>
        </w:rPr>
        <w:t xml:space="preserve"> 凡符合本规定第三条的投资企业生产用地，由所在地政府有关部门依法按国家有关部门核定的最低地价出让土地并办理用地手续。投资在1000万元—3000万元人民币的，按总地价30%的配套资金用于与该企业相关的基础设施建设;投资3000万元—5000万元人民币的，按总地价40%的配套资金支持该企业用于基础设施建设;投资在5000万元人民币以上的项目可一事一议。</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第九条</w:t>
      </w:r>
      <w:r w:rsidRPr="00A67A5D">
        <w:rPr>
          <w:rFonts w:ascii="微软雅黑" w:eastAsia="微软雅黑" w:hAnsi="微软雅黑" w:cs="宋体" w:hint="eastAsia"/>
          <w:color w:val="444444"/>
          <w:kern w:val="0"/>
          <w:sz w:val="24"/>
          <w:szCs w:val="24"/>
        </w:rPr>
        <w:t xml:space="preserve"> 凡投资者使用土地，土地出让期可按国家规定的最高期限办理，使用期满后，同等条件下，使用者可优先续用。</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第十条</w:t>
      </w:r>
      <w:r w:rsidRPr="00A67A5D">
        <w:rPr>
          <w:rFonts w:ascii="微软雅黑" w:eastAsia="微软雅黑" w:hAnsi="微软雅黑" w:cs="宋体" w:hint="eastAsia"/>
          <w:color w:val="444444"/>
          <w:kern w:val="0"/>
          <w:sz w:val="24"/>
          <w:szCs w:val="24"/>
        </w:rPr>
        <w:t xml:space="preserve"> 对企业办理土地、</w:t>
      </w:r>
      <w:hyperlink r:id="rId9" w:tgtFrame="_blank" w:history="1">
        <w:r w:rsidRPr="00A67A5D">
          <w:rPr>
            <w:rFonts w:ascii="微软雅黑" w:eastAsia="微软雅黑" w:hAnsi="微软雅黑" w:cs="宋体" w:hint="eastAsia"/>
            <w:color w:val="CC0000"/>
            <w:kern w:val="0"/>
            <w:sz w:val="24"/>
            <w:szCs w:val="24"/>
          </w:rPr>
          <w:t>房产</w:t>
        </w:r>
      </w:hyperlink>
      <w:r w:rsidRPr="00A67A5D">
        <w:rPr>
          <w:rFonts w:ascii="微软雅黑" w:eastAsia="微软雅黑" w:hAnsi="微软雅黑" w:cs="宋体" w:hint="eastAsia"/>
          <w:color w:val="444444"/>
          <w:kern w:val="0"/>
          <w:sz w:val="24"/>
          <w:szCs w:val="24"/>
        </w:rPr>
        <w:t>贷款抵押手续，国土、建设、</w:t>
      </w:r>
      <w:proofErr w:type="gramStart"/>
      <w:r w:rsidRPr="00A67A5D">
        <w:rPr>
          <w:rFonts w:ascii="微软雅黑" w:eastAsia="微软雅黑" w:hAnsi="微软雅黑" w:cs="宋体" w:hint="eastAsia"/>
          <w:color w:val="444444"/>
          <w:kern w:val="0"/>
          <w:sz w:val="24"/>
          <w:szCs w:val="24"/>
        </w:rPr>
        <w:t>发改等</w:t>
      </w:r>
      <w:proofErr w:type="gramEnd"/>
      <w:r w:rsidRPr="00A67A5D">
        <w:rPr>
          <w:rFonts w:ascii="微软雅黑" w:eastAsia="微软雅黑" w:hAnsi="微软雅黑" w:cs="宋体" w:hint="eastAsia"/>
          <w:color w:val="444444"/>
          <w:kern w:val="0"/>
          <w:sz w:val="24"/>
          <w:szCs w:val="24"/>
        </w:rPr>
        <w:t>部门要提供优质快捷服务，最大限度放宽抵押手续有效期限，对评估费用实行减、缓、免。</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第十一条</w:t>
      </w:r>
      <w:r w:rsidRPr="00A67A5D">
        <w:rPr>
          <w:rFonts w:ascii="微软雅黑" w:eastAsia="微软雅黑" w:hAnsi="微软雅黑" w:cs="宋体" w:hint="eastAsia"/>
          <w:color w:val="444444"/>
          <w:kern w:val="0"/>
          <w:sz w:val="24"/>
          <w:szCs w:val="24"/>
        </w:rPr>
        <w:t xml:space="preserve"> 对符合产业政策的项目和企业，县有关部门积极帮助申请国家、</w:t>
      </w:r>
      <w:proofErr w:type="gramStart"/>
      <w:r w:rsidRPr="00A67A5D">
        <w:rPr>
          <w:rFonts w:ascii="微软雅黑" w:eastAsia="微软雅黑" w:hAnsi="微软雅黑" w:cs="宋体" w:hint="eastAsia"/>
          <w:color w:val="444444"/>
          <w:kern w:val="0"/>
          <w:sz w:val="24"/>
          <w:szCs w:val="24"/>
        </w:rPr>
        <w:t>省政策</w:t>
      </w:r>
      <w:proofErr w:type="gramEnd"/>
      <w:r w:rsidRPr="00A67A5D">
        <w:rPr>
          <w:rFonts w:ascii="微软雅黑" w:eastAsia="微软雅黑" w:hAnsi="微软雅黑" w:cs="宋体" w:hint="eastAsia"/>
          <w:color w:val="444444"/>
          <w:kern w:val="0"/>
          <w:sz w:val="24"/>
          <w:szCs w:val="24"/>
        </w:rPr>
        <w:t>和资金扶持。</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第十二条</w:t>
      </w:r>
      <w:r w:rsidRPr="00A67A5D">
        <w:rPr>
          <w:rFonts w:ascii="微软雅黑" w:eastAsia="微软雅黑" w:hAnsi="微软雅黑" w:cs="宋体" w:hint="eastAsia"/>
          <w:color w:val="444444"/>
          <w:kern w:val="0"/>
          <w:sz w:val="24"/>
          <w:szCs w:val="24"/>
        </w:rPr>
        <w:t xml:space="preserve"> 鼓励企业向开发区聚集。各镇(场)引进的项目落户开发区的，实现的税收计入各镇(场)收入。对开发区的工业用水和生活用水实行分类计量收费。对重点工业企业、用电大户，根据企业需要，生产用电可按大工业电价执行。</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第十三条</w:t>
      </w:r>
      <w:r w:rsidRPr="00A67A5D">
        <w:rPr>
          <w:rFonts w:ascii="微软雅黑" w:eastAsia="微软雅黑" w:hAnsi="微软雅黑" w:cs="宋体" w:hint="eastAsia"/>
          <w:color w:val="444444"/>
          <w:kern w:val="0"/>
          <w:sz w:val="24"/>
          <w:szCs w:val="24"/>
        </w:rPr>
        <w:t xml:space="preserve"> 对确定的招商项目，各有关单位和个人要事先到县招商办登记，实行事前备案制度。对在引进投资中发挥关键作用的引资人，待项目投产并实</w:t>
      </w:r>
      <w:r w:rsidRPr="00A67A5D">
        <w:rPr>
          <w:rFonts w:ascii="微软雅黑" w:eastAsia="微软雅黑" w:hAnsi="微软雅黑" w:cs="宋体" w:hint="eastAsia"/>
          <w:color w:val="444444"/>
          <w:kern w:val="0"/>
          <w:sz w:val="24"/>
          <w:szCs w:val="24"/>
        </w:rPr>
        <w:lastRenderedPageBreak/>
        <w:t>现税收后可以申请奖励，由招商办会同财政、审计部门对奖励申请审核认定，报县政府同意后兑现奖励。奖励标准：人民币投资的，按实际固定资产投资额的4‰给予一次性奖励;外币投资的，按实际固定资产投资额(以进资当日汇率折合人民币)的6‰给予一次性奖励。</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 xml:space="preserve">第十四条 </w:t>
      </w:r>
      <w:r w:rsidRPr="00A67A5D">
        <w:rPr>
          <w:rFonts w:ascii="微软雅黑" w:eastAsia="微软雅黑" w:hAnsi="微软雅黑" w:cs="宋体" w:hint="eastAsia"/>
          <w:color w:val="444444"/>
          <w:kern w:val="0"/>
          <w:sz w:val="24"/>
          <w:szCs w:val="24"/>
        </w:rPr>
        <w:t>外资企业以外币投资，投资额在50万美元以上的，每投资1美元给予0.05元人民币奖励。由县招商办统一组织验资。</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第十五条</w:t>
      </w:r>
      <w:r w:rsidRPr="00A67A5D">
        <w:rPr>
          <w:rFonts w:ascii="微软雅黑" w:eastAsia="微软雅黑" w:hAnsi="微软雅黑" w:cs="宋体" w:hint="eastAsia"/>
          <w:color w:val="444444"/>
          <w:kern w:val="0"/>
          <w:sz w:val="24"/>
          <w:szCs w:val="24"/>
        </w:rPr>
        <w:t xml:space="preserve"> 单位引进的投资项目，按项目实现税收的地方留成部分的5%由政府给予连续三年奖励作为单位行政经费。</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第十六条</w:t>
      </w:r>
      <w:r w:rsidRPr="00A67A5D">
        <w:rPr>
          <w:rFonts w:ascii="微软雅黑" w:eastAsia="微软雅黑" w:hAnsi="微软雅黑" w:cs="宋体" w:hint="eastAsia"/>
          <w:color w:val="444444"/>
          <w:kern w:val="0"/>
          <w:sz w:val="24"/>
          <w:szCs w:val="24"/>
        </w:rPr>
        <w:t xml:space="preserve"> 介绍无偿赠与的，按到帐资金或物品价值的5%给予一次性奖励，奖金由受益方支付。</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 xml:space="preserve">　第十七条</w:t>
      </w:r>
      <w:r w:rsidRPr="00A67A5D">
        <w:rPr>
          <w:rFonts w:ascii="微软雅黑" w:eastAsia="微软雅黑" w:hAnsi="微软雅黑" w:cs="宋体" w:hint="eastAsia"/>
          <w:color w:val="444444"/>
          <w:kern w:val="0"/>
          <w:sz w:val="24"/>
          <w:szCs w:val="24"/>
        </w:rPr>
        <w:t xml:space="preserve"> 引资人与本县受益单位签有引资兑现奖励协议的报相关部门批准后，按协议规定予以奖励。</w:t>
      </w:r>
    </w:p>
    <w:p w:rsidR="00A67A5D" w:rsidRPr="00A67A5D" w:rsidRDefault="00A67A5D" w:rsidP="00A67A5D">
      <w:pPr>
        <w:widowControl/>
        <w:spacing w:before="150" w:after="150" w:line="450" w:lineRule="atLeast"/>
        <w:jc w:val="left"/>
        <w:rPr>
          <w:rFonts w:ascii="微软雅黑" w:eastAsia="微软雅黑" w:hAnsi="微软雅黑" w:cs="宋体" w:hint="eastAsia"/>
          <w:color w:val="444444"/>
          <w:kern w:val="0"/>
          <w:sz w:val="24"/>
          <w:szCs w:val="24"/>
        </w:rPr>
      </w:pPr>
      <w:r w:rsidRPr="00A67A5D">
        <w:rPr>
          <w:rFonts w:ascii="微软雅黑" w:eastAsia="微软雅黑" w:hAnsi="微软雅黑" w:cs="宋体" w:hint="eastAsia"/>
          <w:color w:val="444444"/>
          <w:kern w:val="0"/>
          <w:sz w:val="24"/>
          <w:szCs w:val="24"/>
        </w:rPr>
        <w:t xml:space="preserve">　　</w:t>
      </w:r>
      <w:r w:rsidRPr="00A67A5D">
        <w:rPr>
          <w:rFonts w:ascii="微软雅黑" w:eastAsia="微软雅黑" w:hAnsi="微软雅黑" w:cs="宋体" w:hint="eastAsia"/>
          <w:b/>
          <w:bCs/>
          <w:color w:val="444444"/>
          <w:kern w:val="0"/>
          <w:sz w:val="24"/>
          <w:szCs w:val="24"/>
        </w:rPr>
        <w:t xml:space="preserve">第十八条 </w:t>
      </w:r>
      <w:r w:rsidRPr="00A67A5D">
        <w:rPr>
          <w:rFonts w:ascii="微软雅黑" w:eastAsia="微软雅黑" w:hAnsi="微软雅黑" w:cs="宋体" w:hint="eastAsia"/>
          <w:color w:val="444444"/>
          <w:kern w:val="0"/>
          <w:sz w:val="24"/>
          <w:szCs w:val="24"/>
        </w:rPr>
        <w:t>引进世界500强企业、年固定资产投入达到5000万元以上的工业或创汇农业项目，除按以上奖励外，再给予10至20万元的特殊奖励。</w:t>
      </w:r>
    </w:p>
    <w:p w:rsidR="001846FF" w:rsidRPr="00A67A5D" w:rsidRDefault="00A67A5D"/>
    <w:sectPr w:rsidR="001846FF" w:rsidRPr="00A67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82"/>
    <w:rsid w:val="00A35C72"/>
    <w:rsid w:val="00A67A5D"/>
    <w:rsid w:val="00CD7245"/>
    <w:rsid w:val="00E3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57402-A89D-470F-A16D-5A55893C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67A5D"/>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A67A5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7A5D"/>
    <w:rPr>
      <w:rFonts w:ascii="宋体" w:eastAsia="宋体" w:hAnsi="宋体" w:cs="宋体"/>
      <w:b/>
      <w:bCs/>
      <w:color w:val="333333"/>
      <w:kern w:val="36"/>
      <w:sz w:val="36"/>
      <w:szCs w:val="36"/>
    </w:rPr>
  </w:style>
  <w:style w:type="character" w:customStyle="1" w:styleId="2Char">
    <w:name w:val="标题 2 Char"/>
    <w:basedOn w:val="a0"/>
    <w:link w:val="2"/>
    <w:uiPriority w:val="9"/>
    <w:rsid w:val="00A67A5D"/>
    <w:rPr>
      <w:rFonts w:ascii="宋体" w:eastAsia="宋体" w:hAnsi="宋体" w:cs="宋体"/>
      <w:b/>
      <w:bCs/>
      <w:kern w:val="0"/>
      <w:sz w:val="36"/>
      <w:szCs w:val="36"/>
    </w:rPr>
  </w:style>
  <w:style w:type="character" w:styleId="a3">
    <w:name w:val="Strong"/>
    <w:basedOn w:val="a0"/>
    <w:uiPriority w:val="22"/>
    <w:qFormat/>
    <w:rsid w:val="00A67A5D"/>
    <w:rPr>
      <w:b/>
      <w:bCs/>
    </w:rPr>
  </w:style>
  <w:style w:type="character" w:customStyle="1" w:styleId="bsharecount">
    <w:name w:val="bshare_count"/>
    <w:basedOn w:val="a0"/>
    <w:rsid w:val="00A67A5D"/>
  </w:style>
  <w:style w:type="character" w:customStyle="1" w:styleId="sumcolor1">
    <w:name w:val="sum_color1"/>
    <w:basedOn w:val="a0"/>
    <w:rsid w:val="00A67A5D"/>
    <w:rPr>
      <w:color w:val="FFFFFF"/>
      <w:shd w:val="clear" w:color="auto" w:fill="608FAF"/>
    </w:rPr>
  </w:style>
  <w:style w:type="character" w:customStyle="1" w:styleId="sumtir1">
    <w:name w:val="sum_tir1"/>
    <w:basedOn w:val="a0"/>
    <w:rsid w:val="00A67A5D"/>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27970">
      <w:bodyDiv w:val="1"/>
      <w:marLeft w:val="0"/>
      <w:marRight w:val="0"/>
      <w:marTop w:val="0"/>
      <w:marBottom w:val="0"/>
      <w:divBdr>
        <w:top w:val="none" w:sz="0" w:space="0" w:color="auto"/>
        <w:left w:val="none" w:sz="0" w:space="0" w:color="auto"/>
        <w:bottom w:val="none" w:sz="0" w:space="0" w:color="auto"/>
        <w:right w:val="none" w:sz="0" w:space="0" w:color="auto"/>
      </w:divBdr>
      <w:divsChild>
        <w:div w:id="533806014">
          <w:marLeft w:val="0"/>
          <w:marRight w:val="0"/>
          <w:marTop w:val="0"/>
          <w:marBottom w:val="0"/>
          <w:divBdr>
            <w:top w:val="none" w:sz="0" w:space="0" w:color="auto"/>
            <w:left w:val="none" w:sz="0" w:space="0" w:color="auto"/>
            <w:bottom w:val="none" w:sz="0" w:space="0" w:color="auto"/>
            <w:right w:val="none" w:sz="0" w:space="0" w:color="auto"/>
          </w:divBdr>
          <w:divsChild>
            <w:div w:id="260571657">
              <w:marLeft w:val="0"/>
              <w:marRight w:val="0"/>
              <w:marTop w:val="150"/>
              <w:marBottom w:val="0"/>
              <w:divBdr>
                <w:top w:val="single" w:sz="6" w:space="0" w:color="E4E4E4"/>
                <w:left w:val="single" w:sz="6" w:space="0" w:color="E4E4E4"/>
                <w:bottom w:val="single" w:sz="6" w:space="0" w:color="E4E4E4"/>
                <w:right w:val="single" w:sz="6" w:space="0" w:color="E4E4E4"/>
              </w:divBdr>
              <w:divsChild>
                <w:div w:id="286618971">
                  <w:marLeft w:val="0"/>
                  <w:marRight w:val="0"/>
                  <w:marTop w:val="0"/>
                  <w:marBottom w:val="0"/>
                  <w:divBdr>
                    <w:top w:val="none" w:sz="0" w:space="0" w:color="auto"/>
                    <w:left w:val="none" w:sz="0" w:space="0" w:color="auto"/>
                    <w:bottom w:val="none" w:sz="0" w:space="0" w:color="auto"/>
                    <w:right w:val="none" w:sz="0" w:space="0" w:color="auto"/>
                  </w:divBdr>
                </w:div>
                <w:div w:id="150341237">
                  <w:marLeft w:val="0"/>
                  <w:marRight w:val="0"/>
                  <w:marTop w:val="0"/>
                  <w:marBottom w:val="0"/>
                  <w:divBdr>
                    <w:top w:val="none" w:sz="0" w:space="0" w:color="auto"/>
                    <w:left w:val="none" w:sz="0" w:space="0" w:color="auto"/>
                    <w:bottom w:val="dashed" w:sz="6" w:space="6" w:color="E4E4E4"/>
                    <w:right w:val="none" w:sz="0" w:space="0" w:color="auto"/>
                  </w:divBdr>
                  <w:divsChild>
                    <w:div w:id="1315523982">
                      <w:marLeft w:val="0"/>
                      <w:marRight w:val="0"/>
                      <w:marTop w:val="0"/>
                      <w:marBottom w:val="0"/>
                      <w:divBdr>
                        <w:top w:val="none" w:sz="0" w:space="0" w:color="auto"/>
                        <w:left w:val="none" w:sz="0" w:space="0" w:color="auto"/>
                        <w:bottom w:val="none" w:sz="0" w:space="0" w:color="auto"/>
                        <w:right w:val="none" w:sz="0" w:space="0" w:color="auto"/>
                      </w:divBdr>
                    </w:div>
                    <w:div w:id="1897010241">
                      <w:marLeft w:val="150"/>
                      <w:marRight w:val="150"/>
                      <w:marTop w:val="0"/>
                      <w:marBottom w:val="0"/>
                      <w:divBdr>
                        <w:top w:val="none" w:sz="0" w:space="0" w:color="auto"/>
                        <w:left w:val="none" w:sz="0" w:space="0" w:color="auto"/>
                        <w:bottom w:val="none" w:sz="0" w:space="0" w:color="auto"/>
                        <w:right w:val="none" w:sz="0" w:space="0" w:color="auto"/>
                      </w:divBdr>
                    </w:div>
                    <w:div w:id="549850803">
                      <w:marLeft w:val="0"/>
                      <w:marRight w:val="0"/>
                      <w:marTop w:val="0"/>
                      <w:marBottom w:val="0"/>
                      <w:divBdr>
                        <w:top w:val="none" w:sz="0" w:space="0" w:color="auto"/>
                        <w:left w:val="none" w:sz="0" w:space="0" w:color="auto"/>
                        <w:bottom w:val="none" w:sz="0" w:space="0" w:color="auto"/>
                        <w:right w:val="none" w:sz="0" w:space="0" w:color="auto"/>
                      </w:divBdr>
                    </w:div>
                    <w:div w:id="1783920069">
                      <w:marLeft w:val="150"/>
                      <w:marRight w:val="150"/>
                      <w:marTop w:val="0"/>
                      <w:marBottom w:val="0"/>
                      <w:divBdr>
                        <w:top w:val="none" w:sz="0" w:space="0" w:color="auto"/>
                        <w:left w:val="none" w:sz="0" w:space="0" w:color="auto"/>
                        <w:bottom w:val="none" w:sz="0" w:space="0" w:color="auto"/>
                        <w:right w:val="none" w:sz="0" w:space="0" w:color="auto"/>
                      </w:divBdr>
                    </w:div>
                    <w:div w:id="818493673">
                      <w:marLeft w:val="0"/>
                      <w:marRight w:val="0"/>
                      <w:marTop w:val="0"/>
                      <w:marBottom w:val="0"/>
                      <w:divBdr>
                        <w:top w:val="none" w:sz="0" w:space="0" w:color="auto"/>
                        <w:left w:val="none" w:sz="0" w:space="0" w:color="auto"/>
                        <w:bottom w:val="none" w:sz="0" w:space="0" w:color="auto"/>
                        <w:right w:val="none" w:sz="0" w:space="0" w:color="auto"/>
                      </w:divBdr>
                    </w:div>
                    <w:div w:id="1350333910">
                      <w:marLeft w:val="0"/>
                      <w:marRight w:val="0"/>
                      <w:marTop w:val="0"/>
                      <w:marBottom w:val="0"/>
                      <w:divBdr>
                        <w:top w:val="none" w:sz="0" w:space="0" w:color="auto"/>
                        <w:left w:val="none" w:sz="0" w:space="0" w:color="auto"/>
                        <w:bottom w:val="none" w:sz="0" w:space="0" w:color="auto"/>
                        <w:right w:val="none" w:sz="0" w:space="0" w:color="auto"/>
                      </w:divBdr>
                    </w:div>
                    <w:div w:id="2096045831">
                      <w:marLeft w:val="0"/>
                      <w:marRight w:val="0"/>
                      <w:marTop w:val="0"/>
                      <w:marBottom w:val="0"/>
                      <w:divBdr>
                        <w:top w:val="none" w:sz="0" w:space="0" w:color="auto"/>
                        <w:left w:val="none" w:sz="0" w:space="0" w:color="auto"/>
                        <w:bottom w:val="none" w:sz="0" w:space="0" w:color="auto"/>
                        <w:right w:val="none" w:sz="0" w:space="0" w:color="auto"/>
                      </w:divBdr>
                    </w:div>
                    <w:div w:id="450250026">
                      <w:marLeft w:val="0"/>
                      <w:marRight w:val="150"/>
                      <w:marTop w:val="0"/>
                      <w:marBottom w:val="0"/>
                      <w:divBdr>
                        <w:top w:val="none" w:sz="0" w:space="0" w:color="auto"/>
                        <w:left w:val="none" w:sz="0" w:space="0" w:color="auto"/>
                        <w:bottom w:val="none" w:sz="0" w:space="0" w:color="auto"/>
                        <w:right w:val="none" w:sz="0" w:space="0" w:color="auto"/>
                      </w:divBdr>
                    </w:div>
                  </w:divsChild>
                </w:div>
                <w:div w:id="1290092559">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82.html" TargetMode="External"/><Relationship Id="rId3" Type="http://schemas.openxmlformats.org/officeDocument/2006/relationships/webSettings" Target="webSettings.xml"/><Relationship Id="rId7" Type="http://schemas.openxmlformats.org/officeDocument/2006/relationships/hyperlink" Target="http://www.zgsxzs.com/industry/107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70.html" TargetMode="External"/><Relationship Id="rId11" Type="http://schemas.openxmlformats.org/officeDocument/2006/relationships/theme" Target="theme/theme1.xml"/><Relationship Id="rId5" Type="http://schemas.openxmlformats.org/officeDocument/2006/relationships/hyperlink" Target="http://www.zgsxzs.com/list-1212.html" TargetMode="External"/><Relationship Id="rId10" Type="http://schemas.openxmlformats.org/officeDocument/2006/relationships/fontTable" Target="fontTable.xml"/><Relationship Id="rId4" Type="http://schemas.openxmlformats.org/officeDocument/2006/relationships/hyperlink" Target="http://www.zgsxzs.com" TargetMode="External"/><Relationship Id="rId9" Type="http://schemas.openxmlformats.org/officeDocument/2006/relationships/hyperlink" Target="http://www.zgsxzs.com/industry/107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2018-05-03T08:05:00Z</dcterms:created>
  <dcterms:modified xsi:type="dcterms:W3CDTF">2018-05-03T08:05:00Z</dcterms:modified>
</cp:coreProperties>
</file>