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500" w:type="dxa"/>
        <w:jc w:val="center"/>
        <w:tblCellMar>
          <w:left w:w="0" w:type="dxa"/>
          <w:right w:w="0" w:type="dxa"/>
        </w:tblCellMar>
        <w:tblLook w:val="04A0" w:firstRow="1" w:lastRow="0" w:firstColumn="1" w:lastColumn="0" w:noHBand="0" w:noVBand="1"/>
      </w:tblPr>
      <w:tblGrid>
        <w:gridCol w:w="13500"/>
      </w:tblGrid>
      <w:tr w:rsidR="00BF0974" w:rsidRPr="00BF0974" w14:paraId="62CE4058" w14:textId="77777777" w:rsidTr="00BF0974">
        <w:trPr>
          <w:jc w:val="center"/>
        </w:trPr>
        <w:tc>
          <w:tcPr>
            <w:tcW w:w="0" w:type="auto"/>
            <w:vAlign w:val="center"/>
            <w:hideMark/>
          </w:tcPr>
          <w:p w14:paraId="65B81A1A" w14:textId="77777777" w:rsidR="00BF0974" w:rsidRPr="00BF0974" w:rsidRDefault="00BF0974" w:rsidP="00BF0974">
            <w:pPr>
              <w:widowControl/>
              <w:spacing w:line="495" w:lineRule="atLeast"/>
              <w:jc w:val="center"/>
              <w:rPr>
                <w:rFonts w:ascii="Microsoft Yahei" w:eastAsia="宋体" w:hAnsi="Microsoft Yahei" w:cs="宋体"/>
                <w:b/>
                <w:bCs/>
                <w:color w:val="3D3D3D"/>
                <w:kern w:val="0"/>
                <w:sz w:val="33"/>
                <w:szCs w:val="33"/>
              </w:rPr>
            </w:pPr>
            <w:r w:rsidRPr="00BF0974">
              <w:rPr>
                <w:rFonts w:ascii="Microsoft Yahei" w:eastAsia="宋体" w:hAnsi="Microsoft Yahei" w:cs="宋体"/>
                <w:b/>
                <w:bCs/>
                <w:color w:val="3D3D3D"/>
                <w:kern w:val="0"/>
                <w:sz w:val="33"/>
                <w:szCs w:val="33"/>
              </w:rPr>
              <w:t>泰山产业领军人才工程（传统产业）创新</w:t>
            </w:r>
            <w:proofErr w:type="gramStart"/>
            <w:r w:rsidRPr="00BF0974">
              <w:rPr>
                <w:rFonts w:ascii="Microsoft Yahei" w:eastAsia="宋体" w:hAnsi="Microsoft Yahei" w:cs="宋体"/>
                <w:b/>
                <w:bCs/>
                <w:color w:val="3D3D3D"/>
                <w:kern w:val="0"/>
                <w:sz w:val="33"/>
                <w:szCs w:val="33"/>
              </w:rPr>
              <w:t>类实施</w:t>
            </w:r>
            <w:proofErr w:type="gramEnd"/>
            <w:r w:rsidRPr="00BF0974">
              <w:rPr>
                <w:rFonts w:ascii="Microsoft Yahei" w:eastAsia="宋体" w:hAnsi="Microsoft Yahei" w:cs="宋体"/>
                <w:b/>
                <w:bCs/>
                <w:color w:val="3D3D3D"/>
                <w:kern w:val="0"/>
                <w:sz w:val="33"/>
                <w:szCs w:val="33"/>
              </w:rPr>
              <w:t>细则（试行）</w:t>
            </w:r>
          </w:p>
        </w:tc>
      </w:tr>
      <w:tr w:rsidR="00BF0974" w:rsidRPr="00BF0974" w14:paraId="6BDC4836" w14:textId="77777777" w:rsidTr="00BF0974">
        <w:trPr>
          <w:trHeight w:val="300"/>
          <w:jc w:val="center"/>
        </w:trPr>
        <w:tc>
          <w:tcPr>
            <w:tcW w:w="0" w:type="auto"/>
            <w:vAlign w:val="center"/>
            <w:hideMark/>
          </w:tcPr>
          <w:p w14:paraId="1D875533" w14:textId="77777777" w:rsidR="00BF0974" w:rsidRPr="00BF0974" w:rsidRDefault="00BF0974" w:rsidP="00BF0974">
            <w:pPr>
              <w:widowControl/>
              <w:jc w:val="left"/>
              <w:rPr>
                <w:rFonts w:ascii="Microsoft Yahei" w:eastAsia="宋体" w:hAnsi="Microsoft Yahei" w:cs="宋体"/>
                <w:color w:val="333333"/>
                <w:kern w:val="0"/>
                <w:sz w:val="27"/>
                <w:szCs w:val="27"/>
              </w:rPr>
            </w:pPr>
            <w:r w:rsidRPr="00BF0974">
              <w:rPr>
                <w:rFonts w:ascii="Microsoft Yahei" w:eastAsia="宋体" w:hAnsi="Microsoft Yahei" w:cs="宋体"/>
                <w:color w:val="333333"/>
                <w:kern w:val="0"/>
                <w:sz w:val="27"/>
                <w:szCs w:val="27"/>
              </w:rPr>
              <w:pict w14:anchorId="150B1883">
                <v:rect id="_x0000_i1031" style="width:0;height:0" o:hralign="center" o:hrstd="t" o:hr="t" fillcolor="#a0a0a0" stroked="f"/>
              </w:pict>
            </w:r>
          </w:p>
        </w:tc>
      </w:tr>
      <w:tr w:rsidR="00BF0974" w:rsidRPr="00BF0974" w14:paraId="2F8BF045" w14:textId="77777777" w:rsidTr="00BF0974">
        <w:trPr>
          <w:jc w:val="center"/>
        </w:trPr>
        <w:tc>
          <w:tcPr>
            <w:tcW w:w="0" w:type="auto"/>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4455"/>
              <w:gridCol w:w="4590"/>
              <w:gridCol w:w="4455"/>
            </w:tblGrid>
            <w:tr w:rsidR="00BF0974" w:rsidRPr="00BF0974" w14:paraId="3282512F" w14:textId="77777777">
              <w:trPr>
                <w:jc w:val="center"/>
              </w:trPr>
              <w:tc>
                <w:tcPr>
                  <w:tcW w:w="1650" w:type="pct"/>
                  <w:tcMar>
                    <w:top w:w="0" w:type="dxa"/>
                    <w:left w:w="0" w:type="dxa"/>
                    <w:bottom w:w="0" w:type="dxa"/>
                    <w:right w:w="0" w:type="dxa"/>
                  </w:tcMar>
                  <w:vAlign w:val="center"/>
                  <w:hideMark/>
                </w:tcPr>
                <w:p w14:paraId="7CCB32C7" w14:textId="77777777" w:rsidR="00BF0974" w:rsidRPr="00BF0974" w:rsidRDefault="00BF0974" w:rsidP="00BF0974">
                  <w:pPr>
                    <w:widowControl/>
                    <w:jc w:val="right"/>
                    <w:rPr>
                      <w:rFonts w:ascii="宋体" w:eastAsia="宋体" w:hAnsi="宋体" w:cs="宋体"/>
                      <w:kern w:val="0"/>
                      <w:sz w:val="24"/>
                      <w:szCs w:val="24"/>
                    </w:rPr>
                  </w:pPr>
                  <w:r w:rsidRPr="00BF0974">
                    <w:rPr>
                      <w:rFonts w:ascii="宋体" w:eastAsia="宋体" w:hAnsi="宋体" w:cs="宋体"/>
                      <w:kern w:val="0"/>
                      <w:sz w:val="24"/>
                      <w:szCs w:val="24"/>
                    </w:rPr>
                    <w:t>发布日期：2015-05-14 15:01:48</w:t>
                  </w:r>
                </w:p>
              </w:tc>
              <w:tc>
                <w:tcPr>
                  <w:tcW w:w="0" w:type="auto"/>
                  <w:tcMar>
                    <w:top w:w="0" w:type="dxa"/>
                    <w:left w:w="0" w:type="dxa"/>
                    <w:bottom w:w="0" w:type="dxa"/>
                    <w:right w:w="0" w:type="dxa"/>
                  </w:tcMar>
                  <w:vAlign w:val="center"/>
                  <w:hideMark/>
                </w:tcPr>
                <w:p w14:paraId="1A68038B" w14:textId="77777777" w:rsidR="00BF0974" w:rsidRPr="00BF0974" w:rsidRDefault="00BF0974" w:rsidP="00BF0974">
                  <w:pPr>
                    <w:widowControl/>
                    <w:jc w:val="center"/>
                    <w:rPr>
                      <w:rFonts w:ascii="宋体" w:eastAsia="宋体" w:hAnsi="宋体" w:cs="宋体"/>
                      <w:kern w:val="0"/>
                      <w:sz w:val="24"/>
                      <w:szCs w:val="24"/>
                    </w:rPr>
                  </w:pPr>
                  <w:r w:rsidRPr="00BF0974">
                    <w:rPr>
                      <w:rFonts w:ascii="宋体" w:eastAsia="宋体" w:hAnsi="宋体" w:cs="宋体"/>
                      <w:kern w:val="0"/>
                      <w:sz w:val="24"/>
                      <w:szCs w:val="24"/>
                    </w:rPr>
                    <w:t>浏览次数:1</w:t>
                  </w:r>
                </w:p>
              </w:tc>
              <w:tc>
                <w:tcPr>
                  <w:tcW w:w="1650" w:type="pct"/>
                  <w:tcMar>
                    <w:top w:w="0" w:type="dxa"/>
                    <w:left w:w="0" w:type="dxa"/>
                    <w:bottom w:w="0" w:type="dxa"/>
                    <w:right w:w="0" w:type="dxa"/>
                  </w:tcMar>
                  <w:vAlign w:val="center"/>
                  <w:hideMark/>
                </w:tcPr>
                <w:p w14:paraId="235C99BB" w14:textId="77777777" w:rsidR="00BF0974" w:rsidRPr="00BF0974" w:rsidRDefault="00BF0974" w:rsidP="00BF0974">
                  <w:pPr>
                    <w:widowControl/>
                    <w:jc w:val="left"/>
                    <w:rPr>
                      <w:rFonts w:ascii="宋体" w:eastAsia="宋体" w:hAnsi="宋体" w:cs="宋体"/>
                      <w:kern w:val="0"/>
                      <w:sz w:val="24"/>
                      <w:szCs w:val="24"/>
                    </w:rPr>
                  </w:pPr>
                  <w:r w:rsidRPr="00BF0974">
                    <w:rPr>
                      <w:rFonts w:ascii="宋体" w:eastAsia="宋体" w:hAnsi="宋体" w:cs="宋体"/>
                      <w:kern w:val="0"/>
                      <w:sz w:val="24"/>
                      <w:szCs w:val="24"/>
                    </w:rPr>
                    <w:t>字体：[ </w:t>
                  </w:r>
                  <w:hyperlink r:id="rId6" w:history="1">
                    <w:r w:rsidRPr="00BF0974">
                      <w:rPr>
                        <w:rFonts w:ascii="宋体" w:eastAsia="宋体" w:hAnsi="宋体" w:cs="宋体"/>
                        <w:color w:val="333333"/>
                        <w:kern w:val="0"/>
                        <w:sz w:val="24"/>
                        <w:szCs w:val="24"/>
                        <w:u w:val="single"/>
                        <w:bdr w:val="none" w:sz="0" w:space="0" w:color="auto" w:frame="1"/>
                      </w:rPr>
                      <w:t>大</w:t>
                    </w:r>
                  </w:hyperlink>
                  <w:r w:rsidRPr="00BF0974">
                    <w:rPr>
                      <w:rFonts w:ascii="宋体" w:eastAsia="宋体" w:hAnsi="宋体" w:cs="宋体"/>
                      <w:kern w:val="0"/>
                      <w:sz w:val="24"/>
                      <w:szCs w:val="24"/>
                    </w:rPr>
                    <w:t> </w:t>
                  </w:r>
                  <w:hyperlink r:id="rId7" w:history="1">
                    <w:r w:rsidRPr="00BF0974">
                      <w:rPr>
                        <w:rFonts w:ascii="宋体" w:eastAsia="宋体" w:hAnsi="宋体" w:cs="宋体"/>
                        <w:color w:val="333333"/>
                        <w:kern w:val="0"/>
                        <w:sz w:val="24"/>
                        <w:szCs w:val="24"/>
                        <w:u w:val="single"/>
                        <w:bdr w:val="none" w:sz="0" w:space="0" w:color="auto" w:frame="1"/>
                      </w:rPr>
                      <w:t>中</w:t>
                    </w:r>
                  </w:hyperlink>
                  <w:r w:rsidRPr="00BF0974">
                    <w:rPr>
                      <w:rFonts w:ascii="宋体" w:eastAsia="宋体" w:hAnsi="宋体" w:cs="宋体"/>
                      <w:kern w:val="0"/>
                      <w:sz w:val="24"/>
                      <w:szCs w:val="24"/>
                    </w:rPr>
                    <w:t> </w:t>
                  </w:r>
                  <w:hyperlink r:id="rId8" w:history="1">
                    <w:r w:rsidRPr="00BF0974">
                      <w:rPr>
                        <w:rFonts w:ascii="宋体" w:eastAsia="宋体" w:hAnsi="宋体" w:cs="宋体"/>
                        <w:color w:val="333333"/>
                        <w:kern w:val="0"/>
                        <w:sz w:val="24"/>
                        <w:szCs w:val="24"/>
                        <w:u w:val="single"/>
                        <w:bdr w:val="none" w:sz="0" w:space="0" w:color="auto" w:frame="1"/>
                      </w:rPr>
                      <w:t>小</w:t>
                    </w:r>
                  </w:hyperlink>
                  <w:r w:rsidRPr="00BF0974">
                    <w:rPr>
                      <w:rFonts w:ascii="宋体" w:eastAsia="宋体" w:hAnsi="宋体" w:cs="宋体"/>
                      <w:kern w:val="0"/>
                      <w:sz w:val="24"/>
                      <w:szCs w:val="24"/>
                    </w:rPr>
                    <w:t> ]</w:t>
                  </w:r>
                </w:p>
              </w:tc>
            </w:tr>
          </w:tbl>
          <w:p w14:paraId="4C713F08" w14:textId="77777777" w:rsidR="00BF0974" w:rsidRPr="00BF0974" w:rsidRDefault="00BF0974" w:rsidP="00BF0974">
            <w:pPr>
              <w:widowControl/>
              <w:jc w:val="left"/>
              <w:rPr>
                <w:rFonts w:ascii="Microsoft Yahei" w:eastAsia="宋体" w:hAnsi="Microsoft Yahei" w:cs="宋体"/>
                <w:color w:val="333333"/>
                <w:kern w:val="0"/>
                <w:sz w:val="27"/>
                <w:szCs w:val="27"/>
              </w:rPr>
            </w:pPr>
          </w:p>
        </w:tc>
      </w:tr>
    </w:tbl>
    <w:p w14:paraId="084268F8" w14:textId="77777777" w:rsidR="00BF0974" w:rsidRDefault="00BF0974" w:rsidP="00BF0974">
      <w:pPr>
        <w:pStyle w:val="p0"/>
        <w:spacing w:before="0" w:beforeAutospacing="0" w:after="0" w:afterAutospacing="0" w:line="600" w:lineRule="atLeast"/>
        <w:jc w:val="center"/>
        <w:rPr>
          <w:rFonts w:ascii="Times New Roman" w:hAnsi="Times New Roman" w:cs="Times New Roman"/>
          <w:color w:val="000000"/>
          <w:sz w:val="44"/>
          <w:szCs w:val="44"/>
        </w:rPr>
      </w:pPr>
      <w:bookmarkStart w:id="0" w:name="_GoBack"/>
      <w:bookmarkEnd w:id="0"/>
    </w:p>
    <w:p w14:paraId="7CCEB128" w14:textId="77777777" w:rsidR="00BF0974" w:rsidRDefault="00BF0974" w:rsidP="00BF0974">
      <w:pPr>
        <w:pStyle w:val="p0"/>
        <w:spacing w:before="0" w:beforeAutospacing="0" w:after="0" w:afterAutospacing="0" w:line="600" w:lineRule="atLeast"/>
        <w:jc w:val="center"/>
        <w:rPr>
          <w:rFonts w:ascii="Times New Roman" w:hAnsi="Times New Roman" w:cs="Times New Roman"/>
          <w:color w:val="000000"/>
          <w:sz w:val="44"/>
          <w:szCs w:val="44"/>
        </w:rPr>
      </w:pPr>
    </w:p>
    <w:p w14:paraId="44156665" w14:textId="76C19DC6" w:rsidR="00BF0974" w:rsidRDefault="00BF0974" w:rsidP="00BF0974">
      <w:pPr>
        <w:pStyle w:val="p0"/>
        <w:spacing w:before="0" w:beforeAutospacing="0" w:after="0" w:afterAutospacing="0" w:line="600" w:lineRule="atLeast"/>
        <w:jc w:val="center"/>
        <w:rPr>
          <w:rFonts w:ascii="Microsoft Yahei" w:hAnsi="Microsoft Yahei"/>
          <w:color w:val="3D3D3D"/>
          <w:sz w:val="23"/>
          <w:szCs w:val="23"/>
        </w:rPr>
      </w:pPr>
      <w:r>
        <w:rPr>
          <w:rFonts w:ascii="Times New Roman" w:hAnsi="Times New Roman" w:cs="Times New Roman"/>
          <w:color w:val="000000"/>
          <w:sz w:val="44"/>
          <w:szCs w:val="44"/>
        </w:rPr>
        <w:t>泰山产业领军人才工程</w:t>
      </w:r>
      <w:r>
        <w:rPr>
          <w:rFonts w:ascii="方正小标宋简体" w:eastAsia="方正小标宋简体" w:hAnsi="Microsoft Yahei" w:hint="eastAsia"/>
          <w:color w:val="000000"/>
          <w:sz w:val="44"/>
          <w:szCs w:val="44"/>
        </w:rPr>
        <w:t>（传统产业）</w:t>
      </w:r>
    </w:p>
    <w:p w14:paraId="0405F6D4" w14:textId="77777777" w:rsidR="00BF0974" w:rsidRDefault="00BF0974" w:rsidP="00BF0974">
      <w:pPr>
        <w:pStyle w:val="p0"/>
        <w:spacing w:before="0" w:beforeAutospacing="0" w:after="0" w:afterAutospacing="0" w:line="600" w:lineRule="atLeast"/>
        <w:jc w:val="center"/>
        <w:rPr>
          <w:rFonts w:ascii="Microsoft Yahei" w:hAnsi="Microsoft Yahei"/>
          <w:color w:val="3D3D3D"/>
          <w:sz w:val="23"/>
          <w:szCs w:val="23"/>
        </w:rPr>
      </w:pPr>
      <w:r>
        <w:rPr>
          <w:rFonts w:ascii="Times New Roman" w:hAnsi="Times New Roman" w:cs="Times New Roman"/>
          <w:color w:val="000000"/>
          <w:sz w:val="44"/>
          <w:szCs w:val="44"/>
        </w:rPr>
        <w:t>创新</w:t>
      </w:r>
      <w:proofErr w:type="gramStart"/>
      <w:r>
        <w:rPr>
          <w:rFonts w:ascii="Times New Roman" w:hAnsi="Times New Roman" w:cs="Times New Roman"/>
          <w:color w:val="000000"/>
          <w:sz w:val="44"/>
          <w:szCs w:val="44"/>
        </w:rPr>
        <w:t>类实施</w:t>
      </w:r>
      <w:proofErr w:type="gramEnd"/>
      <w:r>
        <w:rPr>
          <w:rFonts w:ascii="Times New Roman" w:hAnsi="Times New Roman" w:cs="Times New Roman"/>
          <w:color w:val="000000"/>
          <w:sz w:val="44"/>
          <w:szCs w:val="44"/>
        </w:rPr>
        <w:t>细则（试行）</w:t>
      </w:r>
    </w:p>
    <w:p w14:paraId="73DAD717" w14:textId="77777777" w:rsidR="00BF0974" w:rsidRDefault="00BF0974" w:rsidP="00BF0974">
      <w:pPr>
        <w:pStyle w:val="p0"/>
        <w:spacing w:before="0" w:beforeAutospacing="0" w:after="0" w:afterAutospacing="0" w:line="600" w:lineRule="atLeast"/>
        <w:jc w:val="center"/>
        <w:rPr>
          <w:rFonts w:ascii="Microsoft Yahei" w:hAnsi="Microsoft Yahei"/>
          <w:color w:val="3D3D3D"/>
          <w:sz w:val="23"/>
          <w:szCs w:val="23"/>
        </w:rPr>
      </w:pPr>
      <w:r>
        <w:rPr>
          <w:rFonts w:ascii="黑体" w:eastAsia="黑体" w:hAnsi="黑体" w:hint="eastAsia"/>
          <w:color w:val="3D3D3D"/>
          <w:sz w:val="32"/>
          <w:szCs w:val="32"/>
        </w:rPr>
        <w:t>第一章</w:t>
      </w:r>
      <w:r>
        <w:rPr>
          <w:rFonts w:ascii="Calibri" w:eastAsia="黑体" w:hAnsi="Calibri" w:cs="Calibri"/>
          <w:color w:val="3D3D3D"/>
          <w:sz w:val="32"/>
          <w:szCs w:val="32"/>
        </w:rPr>
        <w:t>  </w:t>
      </w:r>
      <w:r>
        <w:rPr>
          <w:rFonts w:ascii="黑体" w:eastAsia="黑体" w:hAnsi="黑体" w:hint="eastAsia"/>
          <w:color w:val="3D3D3D"/>
          <w:sz w:val="32"/>
          <w:szCs w:val="32"/>
        </w:rPr>
        <w:t>总则</w:t>
      </w:r>
    </w:p>
    <w:p w14:paraId="2D7A706A" w14:textId="77777777" w:rsidR="00BF0974" w:rsidRDefault="00BF0974" w:rsidP="00BF0974">
      <w:pPr>
        <w:pStyle w:val="p0"/>
        <w:spacing w:before="0" w:beforeAutospacing="0" w:after="0" w:afterAutospacing="0" w:line="600" w:lineRule="atLeast"/>
        <w:ind w:firstLine="640"/>
        <w:rPr>
          <w:rFonts w:ascii="Microsoft Yahei" w:hAnsi="Microsoft Yahei"/>
          <w:color w:val="3D3D3D"/>
          <w:sz w:val="23"/>
          <w:szCs w:val="23"/>
        </w:rPr>
      </w:pPr>
      <w:r>
        <w:rPr>
          <w:rFonts w:ascii="黑体" w:eastAsia="黑体" w:hAnsi="黑体" w:hint="eastAsia"/>
          <w:color w:val="3D3D3D"/>
          <w:sz w:val="32"/>
          <w:szCs w:val="32"/>
        </w:rPr>
        <w:t>第一条</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为增强人才在引领传统产业转型升级、提质增效中的重要作用，巩固我省传统产业发展优势，提高传统产业质量效益，根据省委办公厅、省政府办公厅《关于实施泰山产业领军人才工程的意见》（</w:t>
      </w:r>
      <w:proofErr w:type="gramStart"/>
      <w:r>
        <w:rPr>
          <w:rFonts w:ascii="仿宋_GB2312" w:eastAsia="仿宋_GB2312" w:hAnsi="Microsoft Yahei" w:hint="eastAsia"/>
          <w:color w:val="3D3D3D"/>
          <w:sz w:val="32"/>
          <w:szCs w:val="32"/>
        </w:rPr>
        <w:t>鲁办发</w:t>
      </w:r>
      <w:proofErr w:type="gramEnd"/>
      <w:r>
        <w:rPr>
          <w:rFonts w:ascii="仿宋_GB2312" w:eastAsia="仿宋_GB2312" w:hAnsi="Microsoft Yahei" w:hint="eastAsia"/>
          <w:color w:val="3D3D3D"/>
          <w:sz w:val="32"/>
          <w:szCs w:val="32"/>
        </w:rPr>
        <w:t>〔2014〕36号），现就在传统产业领域组织实施泰山产业领军人才工程（以下简称“传统产业人才工程”），制定本细则。</w:t>
      </w:r>
    </w:p>
    <w:p w14:paraId="4D374B14" w14:textId="77777777" w:rsidR="00BF0974" w:rsidRDefault="00BF0974" w:rsidP="00BF0974">
      <w:pPr>
        <w:pStyle w:val="p0"/>
        <w:spacing w:before="0" w:beforeAutospacing="0" w:after="0" w:afterAutospacing="0" w:line="600" w:lineRule="atLeast"/>
        <w:ind w:firstLine="640"/>
        <w:rPr>
          <w:rFonts w:ascii="Microsoft Yahei" w:hAnsi="Microsoft Yahei"/>
          <w:color w:val="3D3D3D"/>
          <w:sz w:val="23"/>
          <w:szCs w:val="23"/>
        </w:rPr>
      </w:pPr>
      <w:r>
        <w:rPr>
          <w:rFonts w:ascii="黑体" w:eastAsia="黑体" w:hAnsi="黑体" w:hint="eastAsia"/>
          <w:color w:val="3D3D3D"/>
          <w:sz w:val="32"/>
          <w:szCs w:val="32"/>
        </w:rPr>
        <w:t>第二条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传统产业人才工程的目标任务是：从2015年到2020年，面向海内外遴选180名左右传统产业领域领军人才，形成180个左右以领军人才为核心的创新团队，建设一批高水平的技术创新平台，攻克一批制约产业优化升级的关键共性技术，形成一批自主知识产权，转化一批重大创新成果，为传统产业改造升级提供有力的人才引领和支撑。</w:t>
      </w:r>
    </w:p>
    <w:p w14:paraId="5D481D6C" w14:textId="77777777" w:rsidR="00BF0974" w:rsidRDefault="00BF0974" w:rsidP="00BF0974">
      <w:pPr>
        <w:pStyle w:val="p0"/>
        <w:spacing w:before="0" w:beforeAutospacing="0" w:after="0" w:afterAutospacing="0" w:line="600" w:lineRule="atLeast"/>
        <w:ind w:firstLine="640"/>
        <w:rPr>
          <w:rFonts w:ascii="Microsoft Yahei" w:hAnsi="Microsoft Yahei"/>
          <w:color w:val="3D3D3D"/>
          <w:sz w:val="23"/>
          <w:szCs w:val="23"/>
        </w:rPr>
      </w:pPr>
      <w:r>
        <w:rPr>
          <w:rFonts w:ascii="黑体" w:eastAsia="黑体" w:hAnsi="黑体" w:hint="eastAsia"/>
          <w:color w:val="3D3D3D"/>
          <w:sz w:val="32"/>
          <w:szCs w:val="32"/>
        </w:rPr>
        <w:t>第三条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本细则所指传统产业领域主要包括：根据省政府《山东省六大传统产业转型升级指导计划》（鲁政办发</w:t>
      </w:r>
      <w:r>
        <w:rPr>
          <w:rFonts w:ascii="仿宋_GB2312" w:eastAsia="仿宋_GB2312" w:hAnsi="Microsoft Yahei" w:hint="eastAsia"/>
          <w:color w:val="3D3D3D"/>
          <w:sz w:val="32"/>
          <w:szCs w:val="32"/>
        </w:rPr>
        <w:lastRenderedPageBreak/>
        <w:t>〔2013〕37号）确定的轻工、纺织、机械、化工、冶金、建材等六大传统产业。</w:t>
      </w:r>
    </w:p>
    <w:p w14:paraId="329DAC4D" w14:textId="77777777" w:rsidR="00BF0974" w:rsidRDefault="00BF0974" w:rsidP="00BF0974">
      <w:pPr>
        <w:pStyle w:val="p0"/>
        <w:spacing w:before="0" w:beforeAutospacing="0" w:after="0" w:afterAutospacing="0" w:line="600" w:lineRule="atLeast"/>
        <w:ind w:firstLine="640"/>
        <w:rPr>
          <w:rFonts w:ascii="Microsoft Yahei" w:hAnsi="Microsoft Yahei"/>
          <w:color w:val="3D3D3D"/>
          <w:sz w:val="23"/>
          <w:szCs w:val="23"/>
        </w:rPr>
      </w:pPr>
      <w:r>
        <w:rPr>
          <w:rFonts w:ascii="黑体" w:eastAsia="黑体" w:hAnsi="黑体" w:hint="eastAsia"/>
          <w:color w:val="3D3D3D"/>
          <w:sz w:val="32"/>
          <w:szCs w:val="32"/>
        </w:rPr>
        <w:t>第四条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传统产业人才工程的申报主体是：山东省行政区划内，主营业务处于六大传统产业领域的企业。</w:t>
      </w:r>
    </w:p>
    <w:p w14:paraId="65E7C74F" w14:textId="77777777" w:rsidR="00BF0974" w:rsidRDefault="00BF0974" w:rsidP="00BF0974">
      <w:pPr>
        <w:pStyle w:val="p0"/>
        <w:spacing w:before="0" w:beforeAutospacing="0" w:after="0" w:afterAutospacing="0" w:line="600" w:lineRule="atLeast"/>
        <w:ind w:firstLine="640"/>
        <w:rPr>
          <w:rFonts w:ascii="Microsoft Yahei" w:hAnsi="Microsoft Yahei"/>
          <w:color w:val="3D3D3D"/>
          <w:sz w:val="23"/>
          <w:szCs w:val="23"/>
        </w:rPr>
      </w:pPr>
      <w:r>
        <w:rPr>
          <w:rFonts w:ascii="黑体" w:eastAsia="黑体" w:hAnsi="黑体" w:hint="eastAsia"/>
          <w:color w:val="3D3D3D"/>
          <w:sz w:val="32"/>
          <w:szCs w:val="32"/>
        </w:rPr>
        <w:t>第五条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传统产业人才工程由省人才工作领导小组统一领导，省委组织部统筹协调，省经济和信息化委负责组织实施，省财政厅负责资金保障和监管。用人单位负责落实政策、管理服务等日常工作。</w:t>
      </w:r>
    </w:p>
    <w:p w14:paraId="07D60A87" w14:textId="77777777" w:rsidR="00BF0974" w:rsidRDefault="00BF0974" w:rsidP="00BF0974">
      <w:pPr>
        <w:pStyle w:val="p0"/>
        <w:spacing w:before="0" w:beforeAutospacing="0" w:after="0" w:afterAutospacing="0" w:line="600" w:lineRule="atLeast"/>
        <w:ind w:firstLine="640"/>
        <w:rPr>
          <w:rFonts w:ascii="Microsoft Yahei" w:hAnsi="Microsoft Yahei"/>
          <w:color w:val="3D3D3D"/>
          <w:sz w:val="23"/>
          <w:szCs w:val="23"/>
        </w:rPr>
      </w:pPr>
      <w:r>
        <w:rPr>
          <w:rFonts w:ascii="黑体" w:eastAsia="黑体" w:hAnsi="黑体" w:hint="eastAsia"/>
          <w:color w:val="3D3D3D"/>
          <w:sz w:val="32"/>
          <w:szCs w:val="32"/>
        </w:rPr>
        <w:t>第六条</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对入选的领军人才，由省政府确定为“泰山产业领军人才”，管理期4年。</w:t>
      </w:r>
    </w:p>
    <w:p w14:paraId="395E94F1" w14:textId="77777777" w:rsidR="00BF0974" w:rsidRDefault="00BF0974" w:rsidP="00BF0974">
      <w:pPr>
        <w:pStyle w:val="p0"/>
        <w:spacing w:before="0" w:beforeAutospacing="0" w:after="0" w:afterAutospacing="0" w:line="600" w:lineRule="atLeast"/>
        <w:jc w:val="center"/>
        <w:rPr>
          <w:rFonts w:ascii="Microsoft Yahei" w:hAnsi="Microsoft Yahei"/>
          <w:color w:val="3D3D3D"/>
          <w:sz w:val="23"/>
          <w:szCs w:val="23"/>
        </w:rPr>
      </w:pPr>
      <w:r>
        <w:rPr>
          <w:rFonts w:ascii="黑体" w:eastAsia="黑体" w:hAnsi="黑体" w:hint="eastAsia"/>
          <w:color w:val="3D3D3D"/>
          <w:sz w:val="32"/>
          <w:szCs w:val="32"/>
        </w:rPr>
        <w:t>第二章</w:t>
      </w:r>
      <w:r>
        <w:rPr>
          <w:rFonts w:ascii="Calibri" w:eastAsia="黑体" w:hAnsi="Calibri" w:cs="Calibri"/>
          <w:color w:val="3D3D3D"/>
          <w:sz w:val="32"/>
          <w:szCs w:val="32"/>
        </w:rPr>
        <w:t> </w:t>
      </w:r>
      <w:r>
        <w:rPr>
          <w:rFonts w:ascii="黑体" w:eastAsia="黑体" w:hAnsi="黑体" w:hint="eastAsia"/>
          <w:color w:val="3D3D3D"/>
          <w:sz w:val="32"/>
          <w:szCs w:val="32"/>
        </w:rPr>
        <w:t>标准条件</w:t>
      </w:r>
    </w:p>
    <w:p w14:paraId="7C84A85B" w14:textId="77777777" w:rsidR="00BF0974" w:rsidRDefault="00BF0974" w:rsidP="00BF0974">
      <w:pPr>
        <w:pStyle w:val="p0"/>
        <w:spacing w:before="0" w:beforeAutospacing="0" w:after="0" w:afterAutospacing="0" w:line="600" w:lineRule="atLeast"/>
        <w:ind w:firstLine="640"/>
        <w:rPr>
          <w:rFonts w:ascii="Microsoft Yahei" w:hAnsi="Microsoft Yahei"/>
          <w:color w:val="3D3D3D"/>
          <w:sz w:val="23"/>
          <w:szCs w:val="23"/>
        </w:rPr>
      </w:pPr>
      <w:r>
        <w:rPr>
          <w:rFonts w:ascii="黑体" w:eastAsia="黑体" w:hAnsi="黑体" w:hint="eastAsia"/>
          <w:color w:val="3D3D3D"/>
          <w:sz w:val="32"/>
          <w:szCs w:val="32"/>
        </w:rPr>
        <w:t>第七条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人选应同时具备以下条件：</w:t>
      </w:r>
    </w:p>
    <w:p w14:paraId="083B9DDA" w14:textId="77777777" w:rsidR="00BF0974" w:rsidRDefault="00BF0974" w:rsidP="00BF0974">
      <w:pPr>
        <w:pStyle w:val="p0"/>
        <w:spacing w:before="0" w:beforeAutospacing="0" w:after="0" w:afterAutospacing="0" w:line="600" w:lineRule="atLeast"/>
        <w:ind w:firstLine="640"/>
        <w:rPr>
          <w:rFonts w:ascii="Microsoft Yahei" w:hAnsi="Microsoft Yahei"/>
          <w:color w:val="3D3D3D"/>
          <w:sz w:val="23"/>
          <w:szCs w:val="23"/>
        </w:rPr>
      </w:pPr>
      <w:r>
        <w:rPr>
          <w:rFonts w:ascii="Times New Roman" w:hAnsi="Times New Roman" w:cs="Times New Roman"/>
          <w:color w:val="000000"/>
          <w:sz w:val="32"/>
          <w:szCs w:val="32"/>
        </w:rPr>
        <w:t>（</w:t>
      </w:r>
      <w:r>
        <w:rPr>
          <w:rFonts w:ascii="仿宋_GB2312" w:eastAsia="仿宋_GB2312" w:hAnsi="Microsoft Yahei" w:hint="eastAsia"/>
          <w:color w:val="000000"/>
          <w:sz w:val="32"/>
          <w:szCs w:val="32"/>
        </w:rPr>
        <w:t>一</w:t>
      </w:r>
      <w:r>
        <w:rPr>
          <w:rFonts w:ascii="Times New Roman" w:hAnsi="Times New Roman" w:cs="Times New Roman"/>
          <w:color w:val="000000"/>
          <w:sz w:val="32"/>
          <w:szCs w:val="32"/>
        </w:rPr>
        <w:t>）</w:t>
      </w:r>
      <w:r>
        <w:rPr>
          <w:rFonts w:ascii="仿宋_GB2312" w:eastAsia="仿宋_GB2312" w:hAnsi="Microsoft Yahei" w:hint="eastAsia"/>
          <w:color w:val="000000"/>
          <w:sz w:val="32"/>
          <w:szCs w:val="32"/>
        </w:rPr>
        <w:t>领军人才研发方向处于相关产业发展前沿，与我省发展需求一致，拥有国际一流水平或填补国内空白的发明专利或自主知识产权的研发成果。其中，国内人才须在近五年内</w:t>
      </w:r>
      <w:r>
        <w:rPr>
          <w:rFonts w:ascii="Times New Roman" w:hAnsi="Times New Roman" w:cs="Times New Roman"/>
          <w:color w:val="000000"/>
          <w:sz w:val="32"/>
          <w:szCs w:val="32"/>
        </w:rPr>
        <w:t>主持过</w:t>
      </w:r>
      <w:r>
        <w:rPr>
          <w:rFonts w:ascii="仿宋_GB2312" w:eastAsia="仿宋_GB2312" w:hAnsi="Microsoft Yahei" w:hint="eastAsia"/>
          <w:color w:val="000000"/>
          <w:sz w:val="32"/>
          <w:szCs w:val="32"/>
        </w:rPr>
        <w:t>相关产业领域</w:t>
      </w:r>
      <w:r>
        <w:rPr>
          <w:rFonts w:ascii="Times New Roman" w:hAnsi="Times New Roman" w:cs="Times New Roman"/>
          <w:color w:val="000000"/>
          <w:sz w:val="32"/>
          <w:szCs w:val="32"/>
        </w:rPr>
        <w:t>省级以上重大产业技术开发、成果转化及产业化项目</w:t>
      </w:r>
      <w:r>
        <w:rPr>
          <w:rFonts w:ascii="仿宋_GB2312" w:eastAsia="仿宋_GB2312" w:hAnsi="Microsoft Yahei" w:hint="eastAsia"/>
          <w:color w:val="000000"/>
          <w:sz w:val="32"/>
          <w:szCs w:val="32"/>
        </w:rPr>
        <w:t>，</w:t>
      </w:r>
      <w:r>
        <w:rPr>
          <w:rFonts w:ascii="Times New Roman" w:hAnsi="Times New Roman" w:cs="Times New Roman"/>
          <w:color w:val="000000"/>
          <w:sz w:val="32"/>
          <w:szCs w:val="32"/>
        </w:rPr>
        <w:t>或领衔高层次产业创新团队，或担任省级以上工程（技术）研究中心、企业重点实验室、企业技术中心等产业创新平台负责人</w:t>
      </w:r>
      <w:r>
        <w:rPr>
          <w:rFonts w:ascii="仿宋_GB2312" w:eastAsia="仿宋_GB2312" w:hAnsi="Microsoft Yahei" w:hint="eastAsia"/>
          <w:color w:val="000000"/>
          <w:sz w:val="32"/>
          <w:szCs w:val="32"/>
        </w:rPr>
        <w:t>，或获得省部级</w:t>
      </w:r>
      <w:r>
        <w:rPr>
          <w:rFonts w:ascii="仿宋_GB2312" w:eastAsia="仿宋_GB2312" w:hAnsi="Microsoft Yahei" w:hint="eastAsia"/>
          <w:color w:val="3D3D3D"/>
          <w:sz w:val="32"/>
          <w:szCs w:val="32"/>
        </w:rPr>
        <w:t>科技进步一等奖以上的科技奖励</w:t>
      </w:r>
      <w:r>
        <w:rPr>
          <w:rFonts w:ascii="仿宋_GB2312" w:eastAsia="仿宋_GB2312" w:hAnsi="Microsoft Yahei" w:hint="eastAsia"/>
          <w:color w:val="000000"/>
          <w:sz w:val="32"/>
          <w:szCs w:val="32"/>
        </w:rPr>
        <w:t>；海外人才</w:t>
      </w:r>
      <w:r>
        <w:rPr>
          <w:rFonts w:ascii="Times New Roman" w:hAnsi="Times New Roman" w:cs="Times New Roman"/>
          <w:color w:val="3D3D3D"/>
          <w:sz w:val="32"/>
          <w:szCs w:val="32"/>
        </w:rPr>
        <w:t>须在海外</w:t>
      </w:r>
      <w:r>
        <w:rPr>
          <w:rFonts w:ascii="仿宋_GB2312" w:eastAsia="仿宋_GB2312" w:hAnsi="Microsoft Yahei" w:hint="eastAsia"/>
          <w:color w:val="3D3D3D"/>
          <w:sz w:val="32"/>
          <w:szCs w:val="32"/>
        </w:rPr>
        <w:t>知名</w:t>
      </w:r>
      <w:r>
        <w:rPr>
          <w:rFonts w:ascii="Times New Roman" w:hAnsi="Times New Roman" w:cs="Times New Roman"/>
          <w:color w:val="3D3D3D"/>
          <w:sz w:val="32"/>
          <w:szCs w:val="32"/>
        </w:rPr>
        <w:t>高校、科研院所担任相当于副教授以上专业技术职务，</w:t>
      </w:r>
      <w:r>
        <w:rPr>
          <w:rFonts w:ascii="Times New Roman" w:hAnsi="Times New Roman" w:cs="Times New Roman"/>
          <w:color w:val="3D3D3D"/>
          <w:sz w:val="32"/>
          <w:szCs w:val="32"/>
        </w:rPr>
        <w:lastRenderedPageBreak/>
        <w:t>或在国际知名企业担任中高级职务</w:t>
      </w:r>
      <w:r>
        <w:rPr>
          <w:rFonts w:ascii="仿宋_GB2312" w:eastAsia="仿宋_GB2312" w:hAnsi="Microsoft Yahei" w:hint="eastAsia"/>
          <w:color w:val="000000"/>
          <w:sz w:val="32"/>
          <w:szCs w:val="32"/>
        </w:rPr>
        <w:t>，主持过相关产业的重大科技计划项目。</w:t>
      </w:r>
    </w:p>
    <w:p w14:paraId="72237229" w14:textId="77777777" w:rsidR="00BF0974" w:rsidRDefault="00BF0974" w:rsidP="00BF0974">
      <w:pPr>
        <w:pStyle w:val="p0"/>
        <w:spacing w:before="0" w:beforeAutospacing="0" w:after="0" w:afterAutospacing="0" w:line="600" w:lineRule="atLeast"/>
        <w:ind w:firstLine="640"/>
        <w:rPr>
          <w:rFonts w:ascii="Microsoft Yahei" w:hAnsi="Microsoft Yahei"/>
          <w:color w:val="3D3D3D"/>
          <w:sz w:val="23"/>
          <w:szCs w:val="23"/>
        </w:rPr>
      </w:pPr>
      <w:r>
        <w:rPr>
          <w:rFonts w:ascii="仿宋_GB2312" w:eastAsia="仿宋_GB2312" w:hAnsi="Microsoft Yahei" w:hint="eastAsia"/>
          <w:color w:val="000000"/>
          <w:sz w:val="32"/>
          <w:szCs w:val="32"/>
        </w:rPr>
        <w:t>（二）领军人才须具有良好的职业道德和科学求实、团结协作精神；具有较强的组织管理能力；</w:t>
      </w:r>
      <w:r>
        <w:rPr>
          <w:rFonts w:ascii="Times New Roman" w:hAnsi="Times New Roman" w:cs="Times New Roman"/>
          <w:color w:val="000000"/>
          <w:sz w:val="32"/>
          <w:szCs w:val="32"/>
        </w:rPr>
        <w:t>对本领域具有创新性构想和战略性思维</w:t>
      </w:r>
      <w:r>
        <w:rPr>
          <w:rFonts w:ascii="仿宋_GB2312" w:eastAsia="仿宋_GB2312" w:hAnsi="Microsoft Yahei" w:hint="eastAsia"/>
          <w:color w:val="000000"/>
          <w:sz w:val="32"/>
          <w:szCs w:val="32"/>
        </w:rPr>
        <w:t>；</w:t>
      </w:r>
      <w:r>
        <w:rPr>
          <w:rFonts w:ascii="Times New Roman" w:hAnsi="Times New Roman" w:cs="Times New Roman"/>
          <w:color w:val="000000"/>
          <w:sz w:val="32"/>
          <w:szCs w:val="32"/>
        </w:rPr>
        <w:t>具有指导、培养高水平研发团队赶超或保持国际先进水平的能力</w:t>
      </w:r>
      <w:r>
        <w:rPr>
          <w:rFonts w:ascii="仿宋_GB2312" w:eastAsia="仿宋_GB2312" w:hAnsi="Microsoft Yahei" w:hint="eastAsia"/>
          <w:color w:val="000000"/>
          <w:sz w:val="32"/>
          <w:szCs w:val="32"/>
        </w:rPr>
        <w:t>；人才团队结构合理，合作紧密。</w:t>
      </w:r>
    </w:p>
    <w:p w14:paraId="54DF710D" w14:textId="77777777" w:rsidR="00BF0974" w:rsidRDefault="00BF0974" w:rsidP="00BF0974">
      <w:pPr>
        <w:pStyle w:val="p0"/>
        <w:spacing w:before="0" w:beforeAutospacing="0" w:after="0" w:afterAutospacing="0" w:line="600" w:lineRule="atLeast"/>
        <w:ind w:firstLine="640"/>
        <w:rPr>
          <w:rFonts w:ascii="Microsoft Yahei" w:hAnsi="Microsoft Yahei"/>
          <w:color w:val="3D3D3D"/>
          <w:sz w:val="23"/>
          <w:szCs w:val="23"/>
        </w:rPr>
      </w:pPr>
      <w:r>
        <w:rPr>
          <w:rFonts w:ascii="仿宋_GB2312" w:eastAsia="仿宋_GB2312" w:hAnsi="Microsoft Yahei" w:hint="eastAsia"/>
          <w:color w:val="000000"/>
          <w:sz w:val="32"/>
          <w:szCs w:val="32"/>
        </w:rPr>
        <w:t>（三）人才及建设项目符合我省</w:t>
      </w:r>
      <w:r>
        <w:rPr>
          <w:rFonts w:ascii="仿宋_GB2312" w:eastAsia="仿宋_GB2312" w:hAnsi="Microsoft Yahei" w:hint="eastAsia"/>
          <w:color w:val="3D3D3D"/>
          <w:sz w:val="32"/>
          <w:szCs w:val="32"/>
        </w:rPr>
        <w:t>工业转型升级重点要求，属于传统产业改造升级亟需解决的共性关键技术，具有较好的产业化开发潜力和市场前景，能够实现重大突破，获得自主知识产权，带来显著经济和社会效益</w:t>
      </w:r>
      <w:r>
        <w:rPr>
          <w:rFonts w:ascii="仿宋_GB2312" w:eastAsia="仿宋_GB2312" w:hAnsi="Microsoft Yahei" w:hint="eastAsia"/>
          <w:color w:val="000000"/>
          <w:sz w:val="32"/>
          <w:szCs w:val="32"/>
        </w:rPr>
        <w:t>，具有较好的市场前景，能够实现重大突破，带来显著经济社会生态效益。</w:t>
      </w:r>
    </w:p>
    <w:p w14:paraId="1B00D7C4" w14:textId="77777777" w:rsidR="00BF0974" w:rsidRDefault="00BF0974" w:rsidP="00BF0974">
      <w:pPr>
        <w:pStyle w:val="p0"/>
        <w:spacing w:before="0" w:beforeAutospacing="0" w:after="0" w:afterAutospacing="0" w:line="600" w:lineRule="atLeast"/>
        <w:ind w:firstLine="640"/>
        <w:rPr>
          <w:rFonts w:ascii="Microsoft Yahei" w:hAnsi="Microsoft Yahei"/>
          <w:color w:val="3D3D3D"/>
          <w:sz w:val="23"/>
          <w:szCs w:val="23"/>
        </w:rPr>
      </w:pPr>
      <w:r>
        <w:rPr>
          <w:rFonts w:ascii="仿宋_GB2312" w:eastAsia="仿宋_GB2312" w:hAnsi="Microsoft Yahei" w:hint="eastAsia"/>
          <w:color w:val="000000"/>
          <w:sz w:val="32"/>
          <w:szCs w:val="32"/>
        </w:rPr>
        <w:t>（四）</w:t>
      </w:r>
      <w:r>
        <w:rPr>
          <w:rFonts w:ascii="Times New Roman" w:hAnsi="Times New Roman" w:cs="Times New Roman"/>
          <w:color w:val="000000"/>
          <w:sz w:val="32"/>
          <w:szCs w:val="32"/>
        </w:rPr>
        <w:t>领军人才已与用人单位签订</w:t>
      </w:r>
      <w:r>
        <w:rPr>
          <w:rFonts w:ascii="仿宋_GB2312" w:eastAsia="仿宋_GB2312" w:hAnsi="Microsoft Yahei" w:hint="eastAsia"/>
          <w:color w:val="000000"/>
          <w:sz w:val="32"/>
          <w:szCs w:val="32"/>
        </w:rPr>
        <w:t>劳动</w:t>
      </w:r>
      <w:r>
        <w:rPr>
          <w:rFonts w:ascii="Times New Roman" w:hAnsi="Times New Roman" w:cs="Times New Roman"/>
          <w:color w:val="000000"/>
          <w:sz w:val="32"/>
          <w:szCs w:val="32"/>
        </w:rPr>
        <w:t>合同或</w:t>
      </w:r>
      <w:r>
        <w:rPr>
          <w:rFonts w:ascii="仿宋_GB2312" w:eastAsia="仿宋_GB2312" w:hAnsi="Microsoft Yahei" w:hint="eastAsia"/>
          <w:color w:val="000000"/>
          <w:sz w:val="32"/>
          <w:szCs w:val="32"/>
        </w:rPr>
        <w:t>工作协议，每年在申报单位工作时间至少</w:t>
      </w:r>
      <w:r>
        <w:rPr>
          <w:rFonts w:ascii="Times New Roman" w:eastAsia="仿宋_GB2312" w:hAnsi="Times New Roman" w:cs="Times New Roman" w:hint="eastAsia"/>
          <w:color w:val="000000"/>
          <w:sz w:val="32"/>
          <w:szCs w:val="32"/>
        </w:rPr>
        <w:t>2</w:t>
      </w:r>
      <w:r>
        <w:rPr>
          <w:rFonts w:ascii="仿宋_GB2312" w:eastAsia="仿宋_GB2312" w:hAnsi="Microsoft Yahei" w:hint="eastAsia"/>
          <w:color w:val="000000"/>
          <w:sz w:val="32"/>
          <w:szCs w:val="32"/>
        </w:rPr>
        <w:t>个月以上。省外领军人才全职来我省工作，须与申报单位签订</w:t>
      </w:r>
      <w:r>
        <w:rPr>
          <w:rFonts w:ascii="Times New Roman" w:eastAsia="仿宋_GB2312" w:hAnsi="Times New Roman" w:cs="Times New Roman" w:hint="eastAsia"/>
          <w:color w:val="000000"/>
          <w:sz w:val="32"/>
          <w:szCs w:val="32"/>
        </w:rPr>
        <w:t>4</w:t>
      </w:r>
      <w:r>
        <w:rPr>
          <w:rFonts w:ascii="仿宋_GB2312" w:eastAsia="仿宋_GB2312" w:hAnsi="Microsoft Yahei" w:hint="eastAsia"/>
          <w:color w:val="000000"/>
          <w:sz w:val="32"/>
          <w:szCs w:val="32"/>
        </w:rPr>
        <w:t>年以上劳动合同。</w:t>
      </w:r>
    </w:p>
    <w:p w14:paraId="0A623E17" w14:textId="77777777" w:rsidR="00BF0974" w:rsidRDefault="00BF0974" w:rsidP="00BF0974">
      <w:pPr>
        <w:pStyle w:val="p0"/>
        <w:spacing w:before="0" w:beforeAutospacing="0" w:after="0" w:afterAutospacing="0" w:line="600" w:lineRule="atLeast"/>
        <w:ind w:firstLine="640"/>
        <w:rPr>
          <w:rFonts w:ascii="Microsoft Yahei" w:hAnsi="Microsoft Yahei"/>
          <w:color w:val="3D3D3D"/>
          <w:sz w:val="23"/>
          <w:szCs w:val="23"/>
        </w:rPr>
      </w:pPr>
      <w:r>
        <w:rPr>
          <w:rFonts w:ascii="黑体" w:eastAsia="黑体" w:hAnsi="黑体" w:hint="eastAsia"/>
          <w:color w:val="3D3D3D"/>
          <w:sz w:val="32"/>
          <w:szCs w:val="32"/>
        </w:rPr>
        <w:t>第八条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申报单位应同时具备以下条件：</w:t>
      </w:r>
    </w:p>
    <w:p w14:paraId="75F4C18F" w14:textId="77777777" w:rsidR="00BF0974" w:rsidRDefault="00BF0974" w:rsidP="00BF0974">
      <w:pPr>
        <w:pStyle w:val="p0"/>
        <w:spacing w:before="0" w:beforeAutospacing="0" w:after="0" w:afterAutospacing="0" w:line="600" w:lineRule="atLeast"/>
        <w:ind w:firstLine="640"/>
        <w:rPr>
          <w:rFonts w:ascii="Microsoft Yahei" w:hAnsi="Microsoft Yahei"/>
          <w:color w:val="3D3D3D"/>
          <w:sz w:val="23"/>
          <w:szCs w:val="23"/>
        </w:rPr>
      </w:pPr>
      <w:r>
        <w:rPr>
          <w:rFonts w:ascii="仿宋_GB2312" w:eastAsia="仿宋_GB2312" w:hAnsi="Microsoft Yahei" w:hint="eastAsia"/>
          <w:color w:val="000000"/>
          <w:sz w:val="32"/>
          <w:szCs w:val="32"/>
        </w:rPr>
        <w:t>（一）申报单位须</w:t>
      </w:r>
      <w:r>
        <w:rPr>
          <w:rFonts w:ascii="Times New Roman" w:hAnsi="Times New Roman" w:cs="Times New Roman"/>
          <w:color w:val="000000"/>
          <w:sz w:val="32"/>
          <w:szCs w:val="32"/>
        </w:rPr>
        <w:t>拥有相关领域省级以上</w:t>
      </w:r>
      <w:r>
        <w:rPr>
          <w:rFonts w:ascii="仿宋_GB2312" w:eastAsia="仿宋_GB2312" w:hAnsi="Microsoft Yahei" w:hint="eastAsia"/>
          <w:color w:val="000000"/>
          <w:sz w:val="32"/>
          <w:szCs w:val="32"/>
        </w:rPr>
        <w:t>企业技术中心、</w:t>
      </w:r>
      <w:r>
        <w:rPr>
          <w:rFonts w:ascii="Times New Roman" w:hAnsi="Times New Roman" w:cs="Times New Roman"/>
          <w:color w:val="000000"/>
          <w:sz w:val="32"/>
          <w:szCs w:val="32"/>
        </w:rPr>
        <w:t>重点实验室、工程研究中心、工程技术研究中心、工程实验室等科技创新平台；</w:t>
      </w:r>
    </w:p>
    <w:p w14:paraId="49B2768C" w14:textId="77777777" w:rsidR="00BF0974" w:rsidRDefault="00BF0974" w:rsidP="00BF0974">
      <w:pPr>
        <w:pStyle w:val="p0"/>
        <w:spacing w:before="0" w:beforeAutospacing="0" w:after="0" w:afterAutospacing="0" w:line="600" w:lineRule="atLeast"/>
        <w:ind w:firstLine="640"/>
        <w:rPr>
          <w:rFonts w:ascii="Microsoft Yahei" w:hAnsi="Microsoft Yahei"/>
          <w:color w:val="3D3D3D"/>
          <w:sz w:val="23"/>
          <w:szCs w:val="23"/>
        </w:rPr>
      </w:pPr>
      <w:r>
        <w:rPr>
          <w:rFonts w:ascii="仿宋_GB2312" w:eastAsia="仿宋_GB2312" w:hAnsi="Microsoft Yahei" w:hint="eastAsia"/>
          <w:color w:val="000000"/>
          <w:sz w:val="32"/>
          <w:szCs w:val="32"/>
        </w:rPr>
        <w:lastRenderedPageBreak/>
        <w:t>（二）</w:t>
      </w:r>
      <w:r>
        <w:rPr>
          <w:rFonts w:ascii="Times New Roman" w:hAnsi="Times New Roman" w:cs="Times New Roman"/>
          <w:color w:val="000000"/>
          <w:sz w:val="32"/>
          <w:szCs w:val="32"/>
        </w:rPr>
        <w:t>申报企业研究与开发经费占销售收入的比例不低于</w:t>
      </w:r>
      <w:r>
        <w:rPr>
          <w:rFonts w:ascii="Times New Roman" w:hAnsi="Times New Roman" w:cs="Times New Roman"/>
          <w:color w:val="000000"/>
          <w:sz w:val="32"/>
          <w:szCs w:val="32"/>
        </w:rPr>
        <w:t>3</w:t>
      </w:r>
      <w:r>
        <w:rPr>
          <w:rFonts w:ascii="仿宋_GB2312" w:eastAsia="仿宋_GB2312" w:hAnsi="Microsoft Yahei" w:hint="eastAsia"/>
          <w:color w:val="000000"/>
          <w:sz w:val="32"/>
          <w:szCs w:val="32"/>
        </w:rPr>
        <w:t>.5</w:t>
      </w:r>
      <w:r>
        <w:rPr>
          <w:rFonts w:ascii="Times New Roman" w:hAnsi="Times New Roman" w:cs="Times New Roman"/>
          <w:color w:val="000000"/>
          <w:sz w:val="32"/>
          <w:szCs w:val="32"/>
        </w:rPr>
        <w:t>%</w:t>
      </w:r>
      <w:r>
        <w:rPr>
          <w:rFonts w:ascii="仿宋_GB2312" w:eastAsia="仿宋_GB2312" w:hAnsi="Microsoft Yahei" w:hint="eastAsia"/>
          <w:color w:val="000000"/>
          <w:sz w:val="32"/>
          <w:szCs w:val="32"/>
        </w:rPr>
        <w:t>；</w:t>
      </w:r>
    </w:p>
    <w:p w14:paraId="5E7AAC67" w14:textId="77777777" w:rsidR="00BF0974" w:rsidRDefault="00BF0974" w:rsidP="00BF0974">
      <w:pPr>
        <w:pStyle w:val="p0"/>
        <w:spacing w:before="0" w:beforeAutospacing="0" w:after="0" w:afterAutospacing="0" w:line="600" w:lineRule="atLeast"/>
        <w:ind w:firstLine="640"/>
        <w:rPr>
          <w:rFonts w:ascii="Microsoft Yahei" w:hAnsi="Microsoft Yahei"/>
          <w:color w:val="3D3D3D"/>
          <w:sz w:val="23"/>
          <w:szCs w:val="23"/>
        </w:rPr>
      </w:pPr>
      <w:r>
        <w:rPr>
          <w:rFonts w:ascii="仿宋_GB2312" w:eastAsia="仿宋_GB2312" w:hAnsi="Microsoft Yahei" w:hint="eastAsia"/>
          <w:color w:val="000000"/>
          <w:sz w:val="32"/>
          <w:szCs w:val="32"/>
        </w:rPr>
        <w:t>（三）申报单位</w:t>
      </w:r>
      <w:r>
        <w:rPr>
          <w:rFonts w:ascii="Times New Roman" w:hAnsi="Times New Roman" w:cs="Times New Roman"/>
          <w:color w:val="000000"/>
          <w:sz w:val="32"/>
          <w:szCs w:val="32"/>
        </w:rPr>
        <w:t>投入人才团队申报项目的资金不低于申请省级财政资助金额。</w:t>
      </w:r>
    </w:p>
    <w:p w14:paraId="2334D991" w14:textId="77777777" w:rsidR="00BF0974" w:rsidRDefault="00BF0974" w:rsidP="00BF0974">
      <w:pPr>
        <w:pStyle w:val="p0"/>
        <w:spacing w:before="0" w:beforeAutospacing="0" w:after="0" w:afterAutospacing="0"/>
        <w:ind w:firstLine="645"/>
        <w:rPr>
          <w:rFonts w:ascii="Microsoft Yahei" w:hAnsi="Microsoft Yahei"/>
          <w:color w:val="3D3D3D"/>
          <w:sz w:val="23"/>
          <w:szCs w:val="23"/>
        </w:rPr>
      </w:pPr>
      <w:r>
        <w:rPr>
          <w:rFonts w:ascii="黑体" w:eastAsia="黑体" w:hAnsi="黑体" w:hint="eastAsia"/>
          <w:color w:val="000000"/>
          <w:sz w:val="32"/>
          <w:szCs w:val="32"/>
        </w:rPr>
        <w:t>第九条</w:t>
      </w:r>
      <w:r>
        <w:rPr>
          <w:rFonts w:ascii="仿宋_GB2312" w:eastAsia="仿宋_GB2312" w:hAnsi="Microsoft Yahei" w:hint="eastAsia"/>
          <w:color w:val="000000"/>
          <w:sz w:val="32"/>
          <w:szCs w:val="32"/>
        </w:rPr>
        <w:t>  </w:t>
      </w:r>
      <w:r>
        <w:rPr>
          <w:rFonts w:ascii="仿宋_GB2312" w:eastAsia="仿宋_GB2312" w:hAnsi="Microsoft Yahei" w:hint="eastAsia"/>
          <w:color w:val="000000"/>
          <w:sz w:val="32"/>
          <w:szCs w:val="32"/>
        </w:rPr>
        <w:t>管理期内的泰山学者不得申报</w:t>
      </w:r>
      <w:r>
        <w:rPr>
          <w:rFonts w:ascii="仿宋_GB2312" w:eastAsia="仿宋_GB2312" w:hAnsi="Microsoft Yahei" w:hint="eastAsia"/>
          <w:color w:val="3D3D3D"/>
          <w:sz w:val="32"/>
          <w:szCs w:val="32"/>
        </w:rPr>
        <w:t>传统产业人才工程</w:t>
      </w:r>
      <w:r>
        <w:rPr>
          <w:rFonts w:ascii="仿宋_GB2312" w:eastAsia="仿宋_GB2312" w:hAnsi="Microsoft Yahei" w:hint="eastAsia"/>
          <w:color w:val="000000"/>
          <w:sz w:val="32"/>
          <w:szCs w:val="32"/>
        </w:rPr>
        <w:t>。国家“千人计划”和“万人计划”专家、省泰山学者、泰山产业领军人才曾被取消称号的，不得申报。</w:t>
      </w:r>
      <w:r>
        <w:rPr>
          <w:rFonts w:ascii="仿宋_GB2312" w:eastAsia="仿宋_GB2312" w:hAnsi="Microsoft Yahei" w:hint="eastAsia"/>
          <w:color w:val="3D3D3D"/>
          <w:sz w:val="32"/>
          <w:szCs w:val="32"/>
        </w:rPr>
        <w:t>已获得省各类人才专项资助的，不重复享受经费支持。</w:t>
      </w:r>
    </w:p>
    <w:p w14:paraId="3D8B439A" w14:textId="77777777" w:rsidR="00BF0974" w:rsidRDefault="00BF0974" w:rsidP="00BF0974">
      <w:pPr>
        <w:pStyle w:val="p0"/>
        <w:spacing w:before="0" w:beforeAutospacing="0" w:after="0" w:afterAutospacing="0" w:line="600" w:lineRule="atLeast"/>
        <w:jc w:val="center"/>
        <w:rPr>
          <w:rFonts w:ascii="Microsoft Yahei" w:hAnsi="Microsoft Yahei"/>
          <w:color w:val="3D3D3D"/>
          <w:sz w:val="23"/>
          <w:szCs w:val="23"/>
        </w:rPr>
      </w:pPr>
      <w:r>
        <w:rPr>
          <w:rFonts w:ascii="黑体" w:eastAsia="黑体" w:hAnsi="黑体" w:hint="eastAsia"/>
          <w:color w:val="3D3D3D"/>
          <w:sz w:val="32"/>
          <w:szCs w:val="32"/>
        </w:rPr>
        <w:t>第三章</w:t>
      </w:r>
      <w:r>
        <w:rPr>
          <w:rFonts w:ascii="Calibri" w:eastAsia="黑体" w:hAnsi="Calibri" w:cs="Calibri"/>
          <w:color w:val="3D3D3D"/>
          <w:sz w:val="32"/>
          <w:szCs w:val="32"/>
        </w:rPr>
        <w:t>  </w:t>
      </w:r>
      <w:r>
        <w:rPr>
          <w:rFonts w:ascii="黑体" w:eastAsia="黑体" w:hAnsi="黑体" w:hint="eastAsia"/>
          <w:color w:val="3D3D3D"/>
          <w:sz w:val="32"/>
          <w:szCs w:val="32"/>
        </w:rPr>
        <w:t>遴选程序</w:t>
      </w:r>
    </w:p>
    <w:p w14:paraId="22AD4011" w14:textId="77777777" w:rsidR="00BF0974" w:rsidRDefault="00BF0974" w:rsidP="00BF0974">
      <w:pPr>
        <w:pStyle w:val="p0"/>
        <w:spacing w:before="0" w:beforeAutospacing="0" w:after="0" w:afterAutospacing="0" w:line="600" w:lineRule="atLeast"/>
        <w:ind w:firstLine="640"/>
        <w:rPr>
          <w:rFonts w:ascii="Microsoft Yahei" w:hAnsi="Microsoft Yahei"/>
          <w:color w:val="3D3D3D"/>
          <w:sz w:val="23"/>
          <w:szCs w:val="23"/>
        </w:rPr>
      </w:pPr>
      <w:r>
        <w:rPr>
          <w:rFonts w:ascii="黑体" w:eastAsia="黑体" w:hAnsi="黑体" w:hint="eastAsia"/>
          <w:color w:val="3D3D3D"/>
          <w:sz w:val="32"/>
          <w:szCs w:val="32"/>
        </w:rPr>
        <w:t>第十条</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部署申报。根据省人才工作领导小组统一部署，省经济和信息化委会同省委组织部、省财政厅下发遴选通知。各市企业报所在市经济和信息化委，市经济和</w:t>
      </w:r>
      <w:proofErr w:type="gramStart"/>
      <w:r>
        <w:rPr>
          <w:rFonts w:ascii="仿宋_GB2312" w:eastAsia="仿宋_GB2312" w:hAnsi="Microsoft Yahei" w:hint="eastAsia"/>
          <w:color w:val="3D3D3D"/>
          <w:sz w:val="32"/>
          <w:szCs w:val="32"/>
        </w:rPr>
        <w:t>信息化委商市</w:t>
      </w:r>
      <w:proofErr w:type="gramEnd"/>
      <w:r>
        <w:rPr>
          <w:rFonts w:ascii="仿宋_GB2312" w:eastAsia="仿宋_GB2312" w:hAnsi="Microsoft Yahei" w:hint="eastAsia"/>
          <w:color w:val="3D3D3D"/>
          <w:sz w:val="32"/>
          <w:szCs w:val="32"/>
        </w:rPr>
        <w:t>财政局并经市委组织部同意后，报省经济和信息化委；省属企业、高校院所经行业主管部门审核同意后，报省经济和信息化委。</w:t>
      </w:r>
    </w:p>
    <w:p w14:paraId="6B7F8CD6"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第十一条</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资格审查。省经济和信息化委组织对申报人选的资格条件、申报资料的真实性、人才项目的可行性等进行形式要件审查。</w:t>
      </w:r>
    </w:p>
    <w:p w14:paraId="174AE495"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第十二条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评审遴选。</w:t>
      </w:r>
    </w:p>
    <w:p w14:paraId="2F2FDEE7"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（一）省经济和信息化委拟定评审方案，报省委组织部同意后，组织会评工作，提出考察人选名单。</w:t>
      </w:r>
    </w:p>
    <w:p w14:paraId="5A87154A"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lastRenderedPageBreak/>
        <w:t>（二）省委组织部委托第三方机构，组织省外同行专家进行人才网评。</w:t>
      </w:r>
    </w:p>
    <w:p w14:paraId="0B489BC4"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第十三条</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实地考察。省经济和信息化委组织有关方面对通过会评的人选和项目进行综合考察，提出初步人选名单。</w:t>
      </w:r>
    </w:p>
    <w:p w14:paraId="7B8C668C"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第十四条</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组织公示。省委组织部对初步人选和项目在有关新闻媒体、网站和申报单位进行公示，公示期为7个工作日。</w:t>
      </w:r>
    </w:p>
    <w:p w14:paraId="5446F97A"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第十五条</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研究审定。省委组织部会同有关部门和专家，根据网评、会评、考察、公示情况，论证确定人选名单，报省人才工作领导小组研究审定。</w:t>
      </w:r>
    </w:p>
    <w:p w14:paraId="41DD9776"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第十六条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签订合同。省经济和信息化委组织申报单位与人选签订泰山产业领军人才工作合同，明确规定工作任务、合作方式、产业化时限、效益目标和资金使用等，并给予配套服务。工作合同由申报单位报省经济和信息化委审核。未签订工作合同或者工作合同审核未通过的，暂不提交省政府发文公布。</w:t>
      </w:r>
    </w:p>
    <w:p w14:paraId="6D08510C"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第十七条</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发文公布。报省政府发文公布人选名单。</w:t>
      </w:r>
    </w:p>
    <w:p w14:paraId="731A28A0"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第十八条</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对全省传统产业改造升级发展产生重大影响，具有重大经济社会生态效益的领军人才团队，可实行</w:t>
      </w:r>
      <w:proofErr w:type="gramStart"/>
      <w:r>
        <w:rPr>
          <w:rFonts w:ascii="仿宋_GB2312" w:eastAsia="仿宋_GB2312" w:hAnsi="Microsoft Yahei" w:hint="eastAsia"/>
          <w:color w:val="3D3D3D"/>
          <w:sz w:val="32"/>
          <w:szCs w:val="32"/>
        </w:rPr>
        <w:t>特</w:t>
      </w:r>
      <w:proofErr w:type="gramEnd"/>
      <w:r>
        <w:rPr>
          <w:rFonts w:ascii="仿宋_GB2312" w:eastAsia="仿宋_GB2312" w:hAnsi="Microsoft Yahei" w:hint="eastAsia"/>
          <w:color w:val="3D3D3D"/>
          <w:sz w:val="32"/>
          <w:szCs w:val="32"/>
        </w:rPr>
        <w:t>事特办、一事一议，基本程序为：</w:t>
      </w:r>
    </w:p>
    <w:p w14:paraId="4D957849"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lastRenderedPageBreak/>
        <w:t>（一）申报单位与人才充分接洽，签订意向协议。各市党委组织部会同市经济和信息化委进行研究确认后（省属企业、高校院所由行业主管部门进行研究确认），提出引进申请，报省委组织部、省经济和信息化委。</w:t>
      </w:r>
      <w:r>
        <w:rPr>
          <w:rFonts w:ascii="仿宋_GB2312" w:eastAsia="仿宋_GB2312" w:hAnsi="Microsoft Yahei" w:hint="eastAsia"/>
          <w:color w:val="3D3D3D"/>
          <w:sz w:val="32"/>
          <w:szCs w:val="32"/>
        </w:rPr>
        <w:t> </w:t>
      </w:r>
    </w:p>
    <w:p w14:paraId="7A347397"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（二）省委组织部会同省经济和信息化委、财政厅、行业主管部门组织相关领域专家对人才及申报单位进行现场考察论证。</w:t>
      </w:r>
    </w:p>
    <w:p w14:paraId="49435759"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（三）省委组织部组织公示。</w:t>
      </w:r>
    </w:p>
    <w:p w14:paraId="377AD5F6"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（四）经省人才工作领导小组研究审定后，省经济和信息化委组织签订工作合同，报省政府发文公布。</w:t>
      </w:r>
    </w:p>
    <w:p w14:paraId="7E6F1608" w14:textId="77777777" w:rsidR="00BF0974" w:rsidRDefault="00BF0974" w:rsidP="00BF0974">
      <w:pPr>
        <w:pStyle w:val="p0"/>
        <w:spacing w:before="0" w:beforeAutospacing="0" w:after="0" w:afterAutospacing="0" w:line="600" w:lineRule="atLeast"/>
        <w:jc w:val="center"/>
        <w:rPr>
          <w:rFonts w:ascii="Microsoft Yahei" w:hAnsi="Microsoft Yahei"/>
          <w:color w:val="3D3D3D"/>
          <w:sz w:val="23"/>
          <w:szCs w:val="23"/>
        </w:rPr>
      </w:pPr>
      <w:r>
        <w:rPr>
          <w:rFonts w:ascii="黑体" w:eastAsia="黑体" w:hAnsi="黑体" w:hint="eastAsia"/>
          <w:color w:val="3D3D3D"/>
          <w:sz w:val="32"/>
          <w:szCs w:val="32"/>
        </w:rPr>
        <w:t>第四章</w:t>
      </w:r>
      <w:r>
        <w:rPr>
          <w:rFonts w:ascii="Calibri" w:eastAsia="黑体" w:hAnsi="Calibri" w:cs="Calibri"/>
          <w:color w:val="3D3D3D"/>
          <w:sz w:val="32"/>
          <w:szCs w:val="32"/>
        </w:rPr>
        <w:t>  </w:t>
      </w:r>
      <w:r>
        <w:rPr>
          <w:rFonts w:ascii="黑体" w:eastAsia="黑体" w:hAnsi="黑体" w:hint="eastAsia"/>
          <w:color w:val="3D3D3D"/>
          <w:sz w:val="32"/>
          <w:szCs w:val="32"/>
        </w:rPr>
        <w:t>支持保障</w:t>
      </w:r>
    </w:p>
    <w:p w14:paraId="06AD1EAE"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第十九条</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资助经费。</w:t>
      </w:r>
    </w:p>
    <w:p w14:paraId="3A7EB0BC"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一）泰山产业领军人才工程建设资金给予每名领军人才启动工作支持经费100万元，分项目启动期、中期评估两个阶段，按6：4比例拨付至用人单位，由领军人才支配使用，主要用于团队建设、技术交流等；省外领军人才全职来我省工作，经认定后，再发放一次性补助100万元，直接发放至本人，主要用于改善工作、学习和生活条件；期满验收优秀的，一次性奖励100万元，发放给领军人才及团队。对采取</w:t>
      </w:r>
      <w:proofErr w:type="gramStart"/>
      <w:r>
        <w:rPr>
          <w:rFonts w:ascii="仿宋_GB2312" w:eastAsia="仿宋_GB2312" w:hAnsi="Microsoft Yahei" w:hint="eastAsia"/>
          <w:color w:val="3D3D3D"/>
          <w:sz w:val="32"/>
          <w:szCs w:val="32"/>
        </w:rPr>
        <w:t>特</w:t>
      </w:r>
      <w:proofErr w:type="gramEnd"/>
      <w:r>
        <w:rPr>
          <w:rFonts w:ascii="仿宋_GB2312" w:eastAsia="仿宋_GB2312" w:hAnsi="Microsoft Yahei" w:hint="eastAsia"/>
          <w:color w:val="3D3D3D"/>
          <w:sz w:val="32"/>
          <w:szCs w:val="32"/>
        </w:rPr>
        <w:t>事特办、一事一议方式引进的领军人才及团队，根据实际情况确定支持力度。</w:t>
      </w:r>
    </w:p>
    <w:p w14:paraId="294EE6A1" w14:textId="77777777" w:rsidR="00BF0974" w:rsidRDefault="00BF0974" w:rsidP="00BF0974">
      <w:pPr>
        <w:pStyle w:val="p0"/>
        <w:spacing w:before="0" w:beforeAutospacing="0" w:after="0" w:afterAutospacing="0" w:line="600" w:lineRule="atLeast"/>
        <w:ind w:firstLine="645"/>
        <w:rPr>
          <w:rFonts w:ascii="Microsoft Yahei" w:hAnsi="Microsoft Yahei"/>
          <w:color w:val="3D3D3D"/>
          <w:sz w:val="23"/>
          <w:szCs w:val="23"/>
        </w:rPr>
      </w:pPr>
      <w:r>
        <w:rPr>
          <w:rFonts w:ascii="仿宋_GB2312" w:eastAsia="仿宋_GB2312" w:hAnsi="Microsoft Yahei" w:hint="eastAsia"/>
          <w:color w:val="3D3D3D"/>
          <w:sz w:val="32"/>
          <w:szCs w:val="32"/>
        </w:rPr>
        <w:lastRenderedPageBreak/>
        <w:t>（二）省级工业提质增效升级专项资金给予每个领军人才团队200万元的项目补助资金，支持合同确定项目及任务的实施。专项资金由财政部门按预算级次逐级一次性拨付到用人单位。领军人才申报书应明确提出项目实施计划和资金申请使用方案。对由领军人才及其创新团队承担的，具有自主知识产权，符合国家有关专项申报条件的有关项目，省经济和信息化委将给予优先推荐。</w:t>
      </w:r>
    </w:p>
    <w:p w14:paraId="52F26928"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三）各级经济和信息化委和财政局、省行业主管部门建立健全监管制度，重点对资金使用等情况进行监督检查，确保资金使用安全。用人单位要严格执行相关资金管理规定，对省级财政资助经费专款专用，强化监管，提高经费使用效益。</w:t>
      </w:r>
    </w:p>
    <w:p w14:paraId="38B905FD"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第二十条</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金融投资支持。领军人才团队参与的传统产业重点建设项目，符合条件的，相关产业投资基金优先给予资金支持；通过与商业银行开展战略合作，增加金融信贷扶持。</w:t>
      </w:r>
    </w:p>
    <w:p w14:paraId="2D278850"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第二十一条</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配套支持。管理期内，用人单位应给予领军人才不低于省财政经费资助数额的配套经费支持，遴选配备若干名年龄、知识结构合理的产业创新人才组成团队，并在工作环境条件方面提供支持和配套服务，允许领军人才在高校院所、企业兼职。支持领军人才在科研立</w:t>
      </w:r>
      <w:r>
        <w:rPr>
          <w:rFonts w:ascii="仿宋_GB2312" w:eastAsia="仿宋_GB2312" w:hAnsi="Microsoft Yahei" w:hint="eastAsia"/>
          <w:color w:val="3D3D3D"/>
          <w:sz w:val="32"/>
          <w:szCs w:val="32"/>
        </w:rPr>
        <w:lastRenderedPageBreak/>
        <w:t>项、经费使用、选人用人、薪酬分配、考核激励等方面享有充分自主权。</w:t>
      </w:r>
    </w:p>
    <w:p w14:paraId="60A530E3"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第二十二条</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各级各有关部门要在项目立项、政府采购、科技项目、分配激励等方面，对领军人才给予优先支持，并在领军人才居留落户、子女入学、家属安置、医疗保健等方面，按省级高层次人才提供便利条件。从海外引进的领军人才，享受《关于加快引进海外高层次人才的实施意见》（</w:t>
      </w:r>
      <w:proofErr w:type="gramStart"/>
      <w:r>
        <w:rPr>
          <w:rFonts w:ascii="仿宋_GB2312" w:eastAsia="仿宋_GB2312" w:hAnsi="Microsoft Yahei" w:hint="eastAsia"/>
          <w:color w:val="3D3D3D"/>
          <w:sz w:val="32"/>
          <w:szCs w:val="32"/>
        </w:rPr>
        <w:t>鲁办发</w:t>
      </w:r>
      <w:proofErr w:type="gramEnd"/>
      <w:r>
        <w:rPr>
          <w:rFonts w:ascii="仿宋_GB2312" w:eastAsia="仿宋_GB2312" w:hAnsi="Microsoft Yahei" w:hint="eastAsia"/>
          <w:color w:val="3D3D3D"/>
          <w:sz w:val="32"/>
          <w:szCs w:val="32"/>
        </w:rPr>
        <w:t>〔2009〕15号）规定的居留、出入境等各项生活待遇。</w:t>
      </w:r>
    </w:p>
    <w:p w14:paraId="3C516DC6" w14:textId="77777777" w:rsidR="00BF0974" w:rsidRDefault="00BF0974" w:rsidP="00BF0974">
      <w:pPr>
        <w:pStyle w:val="p0"/>
        <w:spacing w:before="0" w:beforeAutospacing="0" w:after="0" w:afterAutospacing="0" w:line="600" w:lineRule="atLeast"/>
        <w:ind w:firstLine="645"/>
        <w:rPr>
          <w:rFonts w:ascii="Microsoft Yahei" w:hAnsi="Microsoft Yahei"/>
          <w:color w:val="3D3D3D"/>
          <w:sz w:val="23"/>
          <w:szCs w:val="23"/>
        </w:rPr>
      </w:pPr>
      <w:r>
        <w:rPr>
          <w:rFonts w:ascii="黑体" w:eastAsia="黑体" w:hAnsi="黑体" w:hint="eastAsia"/>
          <w:color w:val="3D3D3D"/>
          <w:sz w:val="32"/>
          <w:szCs w:val="32"/>
        </w:rPr>
        <w:t>第二十三条</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加强联系服务。各级经济和信息化部门建立定期联系制度，及时了解掌握领军人才的工作、生活情况和有关需求，协调和帮助解决遇到的问题。优先安排领军人才团队成员参加全省企业经营管理人才培训。省经济和信息化委将重点指导领军人才及其创新团队所在企业加大研发费用加计扣除、进口设备免税等优惠政策落实。</w:t>
      </w:r>
    </w:p>
    <w:p w14:paraId="1AED21B2" w14:textId="77777777" w:rsidR="00BF0974" w:rsidRDefault="00BF0974" w:rsidP="00BF0974">
      <w:pPr>
        <w:pStyle w:val="p0"/>
        <w:spacing w:before="0" w:beforeAutospacing="0" w:after="0" w:afterAutospacing="0" w:line="600" w:lineRule="atLeast"/>
        <w:jc w:val="center"/>
        <w:rPr>
          <w:rFonts w:ascii="Microsoft Yahei" w:hAnsi="Microsoft Yahei"/>
          <w:color w:val="3D3D3D"/>
          <w:sz w:val="23"/>
          <w:szCs w:val="23"/>
        </w:rPr>
      </w:pPr>
      <w:r>
        <w:rPr>
          <w:rFonts w:ascii="黑体" w:eastAsia="黑体" w:hAnsi="黑体" w:hint="eastAsia"/>
          <w:color w:val="3D3D3D"/>
          <w:sz w:val="32"/>
          <w:szCs w:val="32"/>
        </w:rPr>
        <w:t>第五章</w:t>
      </w:r>
      <w:r>
        <w:rPr>
          <w:rFonts w:ascii="Calibri" w:eastAsia="黑体" w:hAnsi="Calibri" w:cs="Calibri"/>
          <w:color w:val="3D3D3D"/>
          <w:sz w:val="32"/>
          <w:szCs w:val="32"/>
        </w:rPr>
        <w:t>  </w:t>
      </w:r>
      <w:r>
        <w:rPr>
          <w:rFonts w:ascii="黑体" w:eastAsia="黑体" w:hAnsi="黑体" w:hint="eastAsia"/>
          <w:color w:val="3D3D3D"/>
          <w:sz w:val="32"/>
          <w:szCs w:val="32"/>
        </w:rPr>
        <w:t>管理评估</w:t>
      </w:r>
    </w:p>
    <w:p w14:paraId="16325833" w14:textId="77777777" w:rsidR="00BF0974" w:rsidRDefault="00BF0974" w:rsidP="00BF0974">
      <w:pPr>
        <w:pStyle w:val="p0"/>
        <w:spacing w:before="0" w:beforeAutospacing="0" w:after="0" w:afterAutospacing="0" w:line="600" w:lineRule="atLeast"/>
        <w:ind w:firstLine="640"/>
        <w:rPr>
          <w:rFonts w:ascii="Microsoft Yahei" w:hAnsi="Microsoft Yahei"/>
          <w:color w:val="3D3D3D"/>
          <w:sz w:val="23"/>
          <w:szCs w:val="23"/>
        </w:rPr>
      </w:pPr>
      <w:r>
        <w:rPr>
          <w:rFonts w:ascii="Times New Roman" w:hAnsi="Times New Roman" w:cs="Times New Roman"/>
          <w:color w:val="000000"/>
          <w:sz w:val="32"/>
          <w:szCs w:val="32"/>
        </w:rPr>
        <w:t>第二十</w:t>
      </w:r>
      <w:r>
        <w:rPr>
          <w:rFonts w:ascii="黑体" w:eastAsia="黑体" w:hAnsi="黑体" w:hint="eastAsia"/>
          <w:color w:val="000000"/>
          <w:sz w:val="32"/>
          <w:szCs w:val="32"/>
        </w:rPr>
        <w:t>四</w:t>
      </w:r>
      <w:r>
        <w:rPr>
          <w:rFonts w:ascii="Times New Roman" w:hAnsi="Times New Roman" w:cs="Times New Roman"/>
          <w:color w:val="000000"/>
          <w:sz w:val="32"/>
          <w:szCs w:val="32"/>
        </w:rPr>
        <w:t>条</w:t>
      </w:r>
      <w:r>
        <w:rPr>
          <w:rFonts w:ascii="Times New Roman" w:hAnsi="Times New Roman" w:cs="Times New Roman"/>
          <w:color w:val="000000"/>
          <w:sz w:val="32"/>
          <w:szCs w:val="32"/>
        </w:rPr>
        <w:t>  </w:t>
      </w:r>
      <w:r>
        <w:rPr>
          <w:rFonts w:ascii="Times New Roman" w:hAnsi="Times New Roman" w:cs="Times New Roman"/>
          <w:color w:val="000000"/>
          <w:sz w:val="32"/>
          <w:szCs w:val="32"/>
        </w:rPr>
        <w:t>绩效评估</w:t>
      </w:r>
      <w:r>
        <w:rPr>
          <w:rFonts w:ascii="仿宋_GB2312" w:eastAsia="仿宋_GB2312" w:hAnsi="Microsoft Yahei" w:hint="eastAsia"/>
          <w:color w:val="000000"/>
          <w:sz w:val="32"/>
          <w:szCs w:val="32"/>
        </w:rPr>
        <w:t>。依据泰山产业领军人才工作合同，分阶段开展绩效评估。</w:t>
      </w:r>
    </w:p>
    <w:p w14:paraId="246E484A" w14:textId="77777777" w:rsidR="00BF0974" w:rsidRDefault="00BF0974" w:rsidP="00BF0974">
      <w:pPr>
        <w:pStyle w:val="p0"/>
        <w:spacing w:before="0" w:beforeAutospacing="0" w:after="0" w:afterAutospacing="0" w:line="600" w:lineRule="atLeast"/>
        <w:ind w:firstLine="640"/>
        <w:rPr>
          <w:rFonts w:ascii="Microsoft Yahei" w:hAnsi="Microsoft Yahei"/>
          <w:color w:val="3D3D3D"/>
          <w:sz w:val="23"/>
          <w:szCs w:val="23"/>
        </w:rPr>
      </w:pPr>
      <w:r>
        <w:rPr>
          <w:rFonts w:ascii="Times New Roman" w:hAnsi="Times New Roman" w:cs="Times New Roman"/>
          <w:color w:val="000000"/>
          <w:sz w:val="32"/>
          <w:szCs w:val="32"/>
        </w:rPr>
        <w:t>（一）</w:t>
      </w:r>
      <w:r>
        <w:rPr>
          <w:rFonts w:ascii="仿宋_GB2312" w:eastAsia="仿宋_GB2312" w:hAnsi="Microsoft Yahei" w:hint="eastAsia"/>
          <w:color w:val="000000"/>
          <w:sz w:val="32"/>
          <w:szCs w:val="32"/>
        </w:rPr>
        <w:t>年度评估。每年年底，用人单位在省经济和信息化</w:t>
      </w:r>
      <w:proofErr w:type="gramStart"/>
      <w:r>
        <w:rPr>
          <w:rFonts w:ascii="仿宋_GB2312" w:eastAsia="仿宋_GB2312" w:hAnsi="Microsoft Yahei" w:hint="eastAsia"/>
          <w:color w:val="000000"/>
          <w:sz w:val="32"/>
          <w:szCs w:val="32"/>
        </w:rPr>
        <w:t>委指导</w:t>
      </w:r>
      <w:proofErr w:type="gramEnd"/>
      <w:r>
        <w:rPr>
          <w:rFonts w:ascii="仿宋_GB2312" w:eastAsia="仿宋_GB2312" w:hAnsi="Microsoft Yahei" w:hint="eastAsia"/>
          <w:color w:val="000000"/>
          <w:sz w:val="32"/>
          <w:szCs w:val="32"/>
        </w:rPr>
        <w:t>下组织年度评估，评估结果报省</w:t>
      </w:r>
      <w:r>
        <w:rPr>
          <w:rFonts w:ascii="仿宋_GB2312" w:eastAsia="仿宋_GB2312" w:hAnsi="Microsoft Yahei" w:hint="eastAsia"/>
          <w:color w:val="3D3D3D"/>
          <w:sz w:val="32"/>
          <w:szCs w:val="32"/>
        </w:rPr>
        <w:t>经济和信息化</w:t>
      </w:r>
      <w:r>
        <w:rPr>
          <w:rFonts w:ascii="仿宋_GB2312" w:eastAsia="仿宋_GB2312" w:hAnsi="Microsoft Yahei" w:hint="eastAsia"/>
          <w:color w:val="000000"/>
          <w:sz w:val="32"/>
          <w:szCs w:val="32"/>
        </w:rPr>
        <w:t>委备案。</w:t>
      </w:r>
    </w:p>
    <w:p w14:paraId="35D7F55B" w14:textId="77777777" w:rsidR="00BF0974" w:rsidRDefault="00BF0974" w:rsidP="00BF0974">
      <w:pPr>
        <w:pStyle w:val="p0"/>
        <w:spacing w:before="0" w:beforeAutospacing="0" w:after="0" w:afterAutospacing="0" w:line="600" w:lineRule="atLeast"/>
        <w:ind w:firstLine="640"/>
        <w:rPr>
          <w:rFonts w:ascii="Microsoft Yahei" w:hAnsi="Microsoft Yahei"/>
          <w:color w:val="3D3D3D"/>
          <w:sz w:val="23"/>
          <w:szCs w:val="23"/>
        </w:rPr>
      </w:pPr>
      <w:r>
        <w:rPr>
          <w:rFonts w:ascii="仿宋_GB2312" w:eastAsia="仿宋_GB2312" w:hAnsi="Microsoft Yahei" w:hint="eastAsia"/>
          <w:color w:val="000000"/>
          <w:sz w:val="32"/>
          <w:szCs w:val="32"/>
        </w:rPr>
        <w:lastRenderedPageBreak/>
        <w:t>（二）中期评估。人才项目实施过半后，省经济和信息化委会同省财政厅及相关部门，组织中介机构开展中期评估。对达到中期评估要求的用人单位拨付中期支持资金；对未达到评估要求的用人单位，由省经济和信息化委提出限期整改要求。中期评估结果报省委组织部备案。</w:t>
      </w:r>
    </w:p>
    <w:p w14:paraId="38EC7FEC" w14:textId="77777777" w:rsidR="00BF0974" w:rsidRDefault="00BF0974" w:rsidP="00BF0974">
      <w:pPr>
        <w:pStyle w:val="p0"/>
        <w:spacing w:before="0" w:beforeAutospacing="0" w:after="0" w:afterAutospacing="0" w:line="600" w:lineRule="atLeast"/>
        <w:ind w:firstLine="640"/>
        <w:rPr>
          <w:rFonts w:ascii="Microsoft Yahei" w:hAnsi="Microsoft Yahei"/>
          <w:color w:val="3D3D3D"/>
          <w:sz w:val="23"/>
          <w:szCs w:val="23"/>
        </w:rPr>
      </w:pPr>
      <w:r>
        <w:rPr>
          <w:rFonts w:ascii="仿宋_GB2312" w:eastAsia="仿宋_GB2312" w:hAnsi="Microsoft Yahei" w:hint="eastAsia"/>
          <w:color w:val="000000"/>
          <w:sz w:val="32"/>
          <w:szCs w:val="32"/>
        </w:rPr>
        <w:t>（三）期满验收。管理期满后，由省经济和信息化委会同省财政厅组织实施。验收结果分“优秀”、“合格”、“不合格”三个等次，根据期满验收结果拨付奖励资金。因自然灾害、政策变化、市场风险等不可抗力造成任务目标未完成，用人单位可提前申请延期一年验收，延期验收结果只能为“合格”或“不合格”两个等次。期满验收评估实施方案和结果报省委组织部审定。</w:t>
      </w:r>
    </w:p>
    <w:p w14:paraId="63F44EBC" w14:textId="77777777" w:rsidR="00BF0974" w:rsidRDefault="00BF0974" w:rsidP="00BF0974">
      <w:pPr>
        <w:pStyle w:val="p0"/>
        <w:spacing w:before="0" w:beforeAutospacing="0" w:after="0" w:afterAutospacing="0" w:line="600" w:lineRule="atLeast"/>
        <w:ind w:firstLine="636"/>
        <w:rPr>
          <w:rFonts w:ascii="Microsoft Yahei" w:hAnsi="Microsoft Yahei"/>
          <w:color w:val="3D3D3D"/>
          <w:sz w:val="23"/>
          <w:szCs w:val="23"/>
        </w:rPr>
      </w:pPr>
      <w:r>
        <w:rPr>
          <w:rFonts w:ascii="黑体" w:eastAsia="黑体" w:hAnsi="黑体" w:hint="eastAsia"/>
          <w:color w:val="000000"/>
          <w:sz w:val="32"/>
          <w:szCs w:val="32"/>
        </w:rPr>
        <w:t>第二十五条</w:t>
      </w:r>
      <w:r>
        <w:rPr>
          <w:rFonts w:ascii="仿宋_GB2312" w:eastAsia="仿宋_GB2312" w:hAnsi="Microsoft Yahei" w:hint="eastAsia"/>
          <w:color w:val="000000"/>
          <w:sz w:val="32"/>
          <w:szCs w:val="32"/>
        </w:rPr>
        <w:t>  </w:t>
      </w:r>
      <w:r>
        <w:rPr>
          <w:rFonts w:ascii="仿宋_GB2312" w:eastAsia="仿宋_GB2312" w:hAnsi="Microsoft Yahei" w:hint="eastAsia"/>
          <w:color w:val="000000"/>
          <w:sz w:val="32"/>
          <w:szCs w:val="32"/>
        </w:rPr>
        <w:t>动态管理。省经济和信息化</w:t>
      </w:r>
      <w:proofErr w:type="gramStart"/>
      <w:r>
        <w:rPr>
          <w:rFonts w:ascii="仿宋_GB2312" w:eastAsia="仿宋_GB2312" w:hAnsi="Microsoft Yahei" w:hint="eastAsia"/>
          <w:color w:val="000000"/>
          <w:sz w:val="32"/>
          <w:szCs w:val="32"/>
        </w:rPr>
        <w:t>委</w:t>
      </w:r>
      <w:r>
        <w:rPr>
          <w:rFonts w:ascii="Times New Roman" w:hAnsi="Times New Roman" w:cs="Times New Roman"/>
          <w:color w:val="000000"/>
          <w:sz w:val="32"/>
          <w:szCs w:val="32"/>
        </w:rPr>
        <w:t>建立</w:t>
      </w:r>
      <w:proofErr w:type="gramEnd"/>
      <w:r>
        <w:rPr>
          <w:rFonts w:ascii="仿宋_GB2312" w:eastAsia="仿宋_GB2312" w:hAnsi="Microsoft Yahei" w:hint="eastAsia"/>
          <w:color w:val="000000"/>
          <w:sz w:val="32"/>
          <w:szCs w:val="32"/>
        </w:rPr>
        <w:t>领军人才和项目档案，对领军人才工作情况进行跟踪管理。取消领军人才资格等重要事项须由省经济和信息化委提出意见，报省人才工作领导小组批准。</w:t>
      </w:r>
    </w:p>
    <w:p w14:paraId="2E7D5F82" w14:textId="77777777" w:rsidR="00BF0974" w:rsidRDefault="00BF0974" w:rsidP="00BF0974">
      <w:pPr>
        <w:pStyle w:val="p0"/>
        <w:spacing w:before="0" w:beforeAutospacing="0" w:after="0" w:afterAutospacing="0" w:line="600" w:lineRule="atLeast"/>
        <w:ind w:firstLine="636"/>
        <w:rPr>
          <w:rFonts w:ascii="Microsoft Yahei" w:hAnsi="Microsoft Yahei"/>
          <w:color w:val="3D3D3D"/>
          <w:sz w:val="23"/>
          <w:szCs w:val="23"/>
        </w:rPr>
      </w:pPr>
      <w:r>
        <w:rPr>
          <w:rFonts w:ascii="仿宋_GB2312" w:eastAsia="仿宋_GB2312" w:hAnsi="Microsoft Yahei" w:hint="eastAsia"/>
          <w:color w:val="000000"/>
          <w:sz w:val="32"/>
          <w:szCs w:val="32"/>
        </w:rPr>
        <w:t>（一）有下列情形之一的，停止支持资金拨付，情节严重的，按规定收回所拨经费，暂停用人单位申报泰山产业领军人才工程资格：不履行工作合同规定的用人单位义务和承诺的；不按规定进行年度评估、中期评估、期满验收，中期评估经过整改仍达不到要求或者期满验收不合格的；支持措施和配套经费落实不到位的；</w:t>
      </w:r>
      <w:r>
        <w:rPr>
          <w:rFonts w:ascii="仿宋_GB2312" w:eastAsia="仿宋_GB2312" w:hAnsi="Microsoft Yahei" w:hint="eastAsia"/>
          <w:color w:val="3D3D3D"/>
          <w:sz w:val="32"/>
          <w:szCs w:val="32"/>
        </w:rPr>
        <w:t>领军人才团队核</w:t>
      </w:r>
      <w:r>
        <w:rPr>
          <w:rFonts w:ascii="仿宋_GB2312" w:eastAsia="仿宋_GB2312" w:hAnsi="Microsoft Yahei" w:hint="eastAsia"/>
          <w:color w:val="3D3D3D"/>
          <w:sz w:val="32"/>
          <w:szCs w:val="32"/>
        </w:rPr>
        <w:lastRenderedPageBreak/>
        <w:t>心成员发生重大调整，没有及时报送备案的；</w:t>
      </w:r>
      <w:r>
        <w:rPr>
          <w:rFonts w:ascii="仿宋_GB2312" w:eastAsia="仿宋_GB2312" w:hAnsi="Microsoft Yahei" w:hint="eastAsia"/>
          <w:color w:val="000000"/>
          <w:sz w:val="32"/>
          <w:szCs w:val="32"/>
        </w:rPr>
        <w:t>在领军人才管理服务中出现弄虚作假或其他重大问题的。</w:t>
      </w:r>
    </w:p>
    <w:p w14:paraId="1AC5D692" w14:textId="77777777" w:rsidR="00BF0974" w:rsidRDefault="00BF0974" w:rsidP="00BF0974">
      <w:pPr>
        <w:pStyle w:val="p0"/>
        <w:spacing w:before="0" w:beforeAutospacing="0" w:after="0" w:afterAutospacing="0" w:line="600" w:lineRule="atLeast"/>
        <w:ind w:firstLine="636"/>
        <w:rPr>
          <w:rFonts w:ascii="Microsoft Yahei" w:hAnsi="Microsoft Yahei"/>
          <w:color w:val="3D3D3D"/>
          <w:sz w:val="23"/>
          <w:szCs w:val="23"/>
        </w:rPr>
      </w:pPr>
      <w:r>
        <w:rPr>
          <w:rFonts w:ascii="仿宋_GB2312" w:eastAsia="仿宋_GB2312" w:hAnsi="Microsoft Yahei" w:hint="eastAsia"/>
          <w:color w:val="000000"/>
          <w:sz w:val="32"/>
          <w:szCs w:val="32"/>
        </w:rPr>
        <w:t>（二）有下列情形之一的，保留领军人才资格，停止支持资金拨付，不再享受有关待遇：管理期内不再从事专业技术岗位、产业一线岗位工作的；管理期</w:t>
      </w:r>
      <w:proofErr w:type="gramStart"/>
      <w:r>
        <w:rPr>
          <w:rFonts w:ascii="仿宋_GB2312" w:eastAsia="仿宋_GB2312" w:hAnsi="Microsoft Yahei" w:hint="eastAsia"/>
          <w:color w:val="000000"/>
          <w:sz w:val="32"/>
          <w:szCs w:val="32"/>
        </w:rPr>
        <w:t>内调往</w:t>
      </w:r>
      <w:proofErr w:type="gramEnd"/>
      <w:r>
        <w:rPr>
          <w:rFonts w:ascii="仿宋_GB2312" w:eastAsia="仿宋_GB2312" w:hAnsi="Microsoft Yahei" w:hint="eastAsia"/>
          <w:color w:val="000000"/>
          <w:sz w:val="32"/>
          <w:szCs w:val="32"/>
        </w:rPr>
        <w:t>省内其他单位，不再与申报单位保持合作的；管理期</w:t>
      </w:r>
      <w:proofErr w:type="gramStart"/>
      <w:r>
        <w:rPr>
          <w:rFonts w:ascii="仿宋_GB2312" w:eastAsia="仿宋_GB2312" w:hAnsi="Microsoft Yahei" w:hint="eastAsia"/>
          <w:color w:val="000000"/>
          <w:sz w:val="32"/>
          <w:szCs w:val="32"/>
        </w:rPr>
        <w:t>内调往</w:t>
      </w:r>
      <w:proofErr w:type="gramEnd"/>
      <w:r>
        <w:rPr>
          <w:rFonts w:ascii="仿宋_GB2312" w:eastAsia="仿宋_GB2312" w:hAnsi="Microsoft Yahei" w:hint="eastAsia"/>
          <w:color w:val="000000"/>
          <w:sz w:val="32"/>
          <w:szCs w:val="32"/>
        </w:rPr>
        <w:t>省外其他单位，主动退回一次性人才补助资金的。</w:t>
      </w:r>
    </w:p>
    <w:p w14:paraId="32C5586F" w14:textId="77777777" w:rsidR="00BF0974" w:rsidRDefault="00BF0974" w:rsidP="00BF0974">
      <w:pPr>
        <w:pStyle w:val="p0"/>
        <w:spacing w:before="0" w:beforeAutospacing="0" w:after="0" w:afterAutospacing="0" w:line="600" w:lineRule="atLeast"/>
        <w:ind w:firstLine="636"/>
        <w:rPr>
          <w:rFonts w:ascii="Microsoft Yahei" w:hAnsi="Microsoft Yahei"/>
          <w:color w:val="3D3D3D"/>
          <w:sz w:val="23"/>
          <w:szCs w:val="23"/>
        </w:rPr>
      </w:pPr>
      <w:r>
        <w:rPr>
          <w:rFonts w:ascii="仿宋_GB2312" w:eastAsia="仿宋_GB2312" w:hAnsi="Microsoft Yahei" w:hint="eastAsia"/>
          <w:color w:val="000000"/>
          <w:sz w:val="32"/>
          <w:szCs w:val="32"/>
        </w:rPr>
        <w:t>（三）有下列情形之一的，取消领军人才资格，停止其相应待遇，情节严重的，按规定追回所拨经费，暂停人才申报泰山产业领军人才工程资格，用人单位未及时报告或未及时纠正的，追究用人单位责任：不履行工作合同规定的人才义务和承诺的；公布后超过3个月未正常开展工作或管理期</w:t>
      </w:r>
      <w:proofErr w:type="gramStart"/>
      <w:r>
        <w:rPr>
          <w:rFonts w:ascii="仿宋_GB2312" w:eastAsia="仿宋_GB2312" w:hAnsi="Microsoft Yahei" w:hint="eastAsia"/>
          <w:color w:val="000000"/>
          <w:sz w:val="32"/>
          <w:szCs w:val="32"/>
        </w:rPr>
        <w:t>内调往</w:t>
      </w:r>
      <w:proofErr w:type="gramEnd"/>
      <w:r>
        <w:rPr>
          <w:rFonts w:ascii="仿宋_GB2312" w:eastAsia="仿宋_GB2312" w:hAnsi="Microsoft Yahei" w:hint="eastAsia"/>
          <w:color w:val="000000"/>
          <w:sz w:val="32"/>
          <w:szCs w:val="32"/>
        </w:rPr>
        <w:t>省外其他单位，不主动退回一次性人才补助资金的；不能保证全职在我省工作或者本人表示不再担任领军人才的；有违法违纪行为或有弄虚作假、谎报成果、违规使用资金等情形的；在年度评估、中期评估、期满评估中不合格的；存在其他不适宜继续担任领军人才行为的。</w:t>
      </w:r>
    </w:p>
    <w:p w14:paraId="57DE7968" w14:textId="77777777" w:rsidR="00BF0974" w:rsidRDefault="00BF0974" w:rsidP="00BF0974">
      <w:pPr>
        <w:pStyle w:val="p0"/>
        <w:spacing w:before="0" w:beforeAutospacing="0" w:after="0" w:afterAutospacing="0" w:line="600" w:lineRule="atLeast"/>
        <w:ind w:firstLine="640"/>
        <w:rPr>
          <w:rFonts w:ascii="Microsoft Yahei" w:hAnsi="Microsoft Yahei"/>
          <w:color w:val="3D3D3D"/>
          <w:sz w:val="23"/>
          <w:szCs w:val="23"/>
        </w:rPr>
      </w:pPr>
      <w:r>
        <w:rPr>
          <w:rFonts w:ascii="黑体" w:eastAsia="黑体" w:hAnsi="黑体" w:hint="eastAsia"/>
          <w:color w:val="000000"/>
          <w:sz w:val="32"/>
          <w:szCs w:val="32"/>
        </w:rPr>
        <w:t>第二十六条</w:t>
      </w:r>
      <w:r>
        <w:rPr>
          <w:rFonts w:ascii="Calibri" w:eastAsia="黑体" w:hAnsi="Calibri" w:cs="Calibri"/>
          <w:color w:val="000000"/>
          <w:sz w:val="32"/>
          <w:szCs w:val="32"/>
        </w:rPr>
        <w:t>  </w:t>
      </w:r>
      <w:r>
        <w:rPr>
          <w:rFonts w:ascii="仿宋_GB2312" w:eastAsia="仿宋_GB2312" w:hAnsi="Microsoft Yahei" w:hint="eastAsia"/>
          <w:color w:val="000000"/>
          <w:sz w:val="32"/>
          <w:szCs w:val="32"/>
        </w:rPr>
        <w:t>抽查监督。省委组织部委托专业机构，不定期组织抽查，重点了解督查领军人才工作情况、用人单位支持措施和配套经费落实等情况。</w:t>
      </w:r>
    </w:p>
    <w:p w14:paraId="0CE477E1" w14:textId="77777777" w:rsidR="00BF0974" w:rsidRDefault="00BF0974" w:rsidP="00BF0974">
      <w:pPr>
        <w:pStyle w:val="p0"/>
        <w:spacing w:before="0" w:beforeAutospacing="0" w:after="0" w:afterAutospacing="0"/>
        <w:jc w:val="center"/>
        <w:rPr>
          <w:rFonts w:ascii="Microsoft Yahei" w:hAnsi="Microsoft Yahei"/>
          <w:color w:val="3D3D3D"/>
          <w:sz w:val="23"/>
          <w:szCs w:val="23"/>
        </w:rPr>
      </w:pPr>
      <w:r>
        <w:rPr>
          <w:rFonts w:ascii="黑体" w:eastAsia="黑体" w:hAnsi="黑体" w:hint="eastAsia"/>
          <w:color w:val="3D3D3D"/>
          <w:sz w:val="32"/>
          <w:szCs w:val="32"/>
        </w:rPr>
        <w:t>第六章</w:t>
      </w:r>
      <w:r>
        <w:rPr>
          <w:rFonts w:ascii="Calibri" w:eastAsia="黑体" w:hAnsi="Calibri" w:cs="Calibri"/>
          <w:color w:val="3D3D3D"/>
          <w:sz w:val="32"/>
          <w:szCs w:val="32"/>
        </w:rPr>
        <w:t>  </w:t>
      </w:r>
      <w:r>
        <w:rPr>
          <w:rFonts w:ascii="黑体" w:eastAsia="黑体" w:hAnsi="黑体" w:hint="eastAsia"/>
          <w:color w:val="3D3D3D"/>
          <w:sz w:val="32"/>
          <w:szCs w:val="32"/>
        </w:rPr>
        <w:t>附</w:t>
      </w:r>
      <w:r>
        <w:rPr>
          <w:rFonts w:ascii="Calibri" w:eastAsia="黑体" w:hAnsi="Calibri" w:cs="Calibri"/>
          <w:color w:val="3D3D3D"/>
          <w:sz w:val="32"/>
          <w:szCs w:val="32"/>
        </w:rPr>
        <w:t>  </w:t>
      </w:r>
      <w:r>
        <w:rPr>
          <w:rFonts w:ascii="黑体" w:eastAsia="黑体" w:hAnsi="黑体" w:hint="eastAsia"/>
          <w:color w:val="3D3D3D"/>
          <w:sz w:val="32"/>
          <w:szCs w:val="32"/>
        </w:rPr>
        <w:t>则</w:t>
      </w:r>
    </w:p>
    <w:p w14:paraId="33D7B833" w14:textId="77777777" w:rsidR="00BF0974" w:rsidRDefault="00BF0974" w:rsidP="00BF0974">
      <w:pPr>
        <w:pStyle w:val="p0"/>
        <w:spacing w:before="0" w:beforeAutospacing="0" w:after="0" w:afterAutospacing="0"/>
        <w:rPr>
          <w:rFonts w:ascii="Microsoft Yahei" w:hAnsi="Microsoft Yahei"/>
          <w:color w:val="3D3D3D"/>
          <w:sz w:val="23"/>
          <w:szCs w:val="23"/>
        </w:rPr>
      </w:pPr>
      <w:r>
        <w:rPr>
          <w:rFonts w:ascii="仿宋_GB2312" w:eastAsia="仿宋_GB2312" w:hAnsi="Microsoft Yahei" w:hint="eastAsia"/>
          <w:color w:val="3D3D3D"/>
          <w:sz w:val="32"/>
          <w:szCs w:val="32"/>
        </w:rPr>
        <w:lastRenderedPageBreak/>
        <w:t> </w:t>
      </w:r>
    </w:p>
    <w:p w14:paraId="75C23E9C"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 xml:space="preserve">第二十七条　</w:t>
      </w:r>
      <w:r>
        <w:rPr>
          <w:rFonts w:ascii="仿宋_GB2312" w:eastAsia="仿宋_GB2312" w:hAnsi="Microsoft Yahei" w:hint="eastAsia"/>
          <w:color w:val="000000"/>
          <w:sz w:val="32"/>
          <w:szCs w:val="32"/>
        </w:rPr>
        <w:t>本细则未尽事项，按照国家和省有关规定执行。</w:t>
      </w:r>
    </w:p>
    <w:p w14:paraId="37E8EED1"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第二十八条</w:t>
      </w:r>
      <w:r>
        <w:rPr>
          <w:rFonts w:ascii="Calibri" w:eastAsia="黑体" w:hAnsi="Calibri" w:cs="Calibri"/>
          <w:color w:val="3D3D3D"/>
          <w:sz w:val="32"/>
          <w:szCs w:val="32"/>
        </w:rPr>
        <w:t>  </w:t>
      </w:r>
      <w:r>
        <w:rPr>
          <w:rFonts w:ascii="仿宋_GB2312" w:eastAsia="仿宋_GB2312" w:hAnsi="Microsoft Yahei" w:hint="eastAsia"/>
          <w:color w:val="000000"/>
          <w:sz w:val="32"/>
          <w:szCs w:val="32"/>
        </w:rPr>
        <w:t>本实施细则由省人才工作领导小组办公室负责解释。</w:t>
      </w:r>
    </w:p>
    <w:p w14:paraId="7E1EA369" w14:textId="77777777" w:rsidR="00BF0974" w:rsidRDefault="00BF0974" w:rsidP="00BF0974">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第二十九条</w:t>
      </w:r>
      <w:r>
        <w:rPr>
          <w:rFonts w:ascii="Calibri" w:eastAsia="黑体" w:hAnsi="Calibri" w:cs="Calibri"/>
          <w:color w:val="3D3D3D"/>
          <w:sz w:val="32"/>
          <w:szCs w:val="32"/>
        </w:rPr>
        <w:t>  </w:t>
      </w:r>
      <w:r>
        <w:rPr>
          <w:rFonts w:ascii="仿宋_GB2312" w:eastAsia="仿宋_GB2312" w:hAnsi="Microsoft Yahei" w:hint="eastAsia"/>
          <w:color w:val="000000"/>
          <w:sz w:val="32"/>
          <w:szCs w:val="32"/>
        </w:rPr>
        <w:t>本细则自发布之日起施行。</w:t>
      </w:r>
    </w:p>
    <w:p w14:paraId="5EE119E7" w14:textId="77777777" w:rsidR="00A6294D" w:rsidRPr="00BF0974" w:rsidRDefault="00A6294D"/>
    <w:sectPr w:rsidR="00A6294D" w:rsidRPr="00BF09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D83F6" w14:textId="77777777" w:rsidR="00962314" w:rsidRDefault="00962314" w:rsidP="00BF0974">
      <w:r>
        <w:separator/>
      </w:r>
    </w:p>
  </w:endnote>
  <w:endnote w:type="continuationSeparator" w:id="0">
    <w:p w14:paraId="47B2A4C4" w14:textId="77777777" w:rsidR="00962314" w:rsidRDefault="00962314" w:rsidP="00BF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48388" w14:textId="77777777" w:rsidR="00962314" w:rsidRDefault="00962314" w:rsidP="00BF0974">
      <w:r>
        <w:separator/>
      </w:r>
    </w:p>
  </w:footnote>
  <w:footnote w:type="continuationSeparator" w:id="0">
    <w:p w14:paraId="1A43646B" w14:textId="77777777" w:rsidR="00962314" w:rsidRDefault="00962314" w:rsidP="00BF0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6D"/>
    <w:rsid w:val="00962314"/>
    <w:rsid w:val="00A6294D"/>
    <w:rsid w:val="00AA5F6D"/>
    <w:rsid w:val="00BF0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FEB07"/>
  <w15:chartTrackingRefBased/>
  <w15:docId w15:val="{429E7FCC-388D-4CAE-BEA4-48FE952E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097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0974"/>
    <w:rPr>
      <w:sz w:val="18"/>
      <w:szCs w:val="18"/>
    </w:rPr>
  </w:style>
  <w:style w:type="paragraph" w:styleId="a5">
    <w:name w:val="footer"/>
    <w:basedOn w:val="a"/>
    <w:link w:val="a6"/>
    <w:uiPriority w:val="99"/>
    <w:unhideWhenUsed/>
    <w:rsid w:val="00BF0974"/>
    <w:pPr>
      <w:tabs>
        <w:tab w:val="center" w:pos="4153"/>
        <w:tab w:val="right" w:pos="8306"/>
      </w:tabs>
      <w:snapToGrid w:val="0"/>
      <w:jc w:val="left"/>
    </w:pPr>
    <w:rPr>
      <w:sz w:val="18"/>
      <w:szCs w:val="18"/>
    </w:rPr>
  </w:style>
  <w:style w:type="character" w:customStyle="1" w:styleId="a6">
    <w:name w:val="页脚 字符"/>
    <w:basedOn w:val="a0"/>
    <w:link w:val="a5"/>
    <w:uiPriority w:val="99"/>
    <w:rsid w:val="00BF0974"/>
    <w:rPr>
      <w:sz w:val="18"/>
      <w:szCs w:val="18"/>
    </w:rPr>
  </w:style>
  <w:style w:type="paragraph" w:customStyle="1" w:styleId="p0">
    <w:name w:val="p0"/>
    <w:basedOn w:val="a"/>
    <w:rsid w:val="00BF0974"/>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BF09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51754">
      <w:bodyDiv w:val="1"/>
      <w:marLeft w:val="0"/>
      <w:marRight w:val="0"/>
      <w:marTop w:val="0"/>
      <w:marBottom w:val="0"/>
      <w:divBdr>
        <w:top w:val="none" w:sz="0" w:space="0" w:color="auto"/>
        <w:left w:val="none" w:sz="0" w:space="0" w:color="auto"/>
        <w:bottom w:val="none" w:sz="0" w:space="0" w:color="auto"/>
        <w:right w:val="none" w:sz="0" w:space="0" w:color="auto"/>
      </w:divBdr>
    </w:div>
    <w:div w:id="543492631">
      <w:bodyDiv w:val="1"/>
      <w:marLeft w:val="0"/>
      <w:marRight w:val="0"/>
      <w:marTop w:val="0"/>
      <w:marBottom w:val="0"/>
      <w:divBdr>
        <w:top w:val="none" w:sz="0" w:space="0" w:color="auto"/>
        <w:left w:val="none" w:sz="0" w:space="0" w:color="auto"/>
        <w:bottom w:val="none" w:sz="0" w:space="0" w:color="auto"/>
        <w:right w:val="none" w:sz="0" w:space="0" w:color="auto"/>
      </w:divBdr>
      <w:divsChild>
        <w:div w:id="1130442415">
          <w:marLeft w:val="0"/>
          <w:marRight w:val="0"/>
          <w:marTop w:val="300"/>
          <w:marBottom w:val="0"/>
          <w:divBdr>
            <w:top w:val="none" w:sz="0" w:space="0" w:color="auto"/>
            <w:left w:val="none" w:sz="0" w:space="0" w:color="auto"/>
            <w:bottom w:val="none" w:sz="0" w:space="0" w:color="auto"/>
            <w:right w:val="none" w:sz="0" w:space="0" w:color="auto"/>
          </w:divBdr>
          <w:divsChild>
            <w:div w:id="71292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8109">
      <w:bodyDiv w:val="1"/>
      <w:marLeft w:val="0"/>
      <w:marRight w:val="0"/>
      <w:marTop w:val="0"/>
      <w:marBottom w:val="0"/>
      <w:divBdr>
        <w:top w:val="none" w:sz="0" w:space="0" w:color="auto"/>
        <w:left w:val="none" w:sz="0" w:space="0" w:color="auto"/>
        <w:bottom w:val="none" w:sz="0" w:space="0" w:color="auto"/>
        <w:right w:val="none" w:sz="0" w:space="0" w:color="auto"/>
      </w:divBdr>
      <w:divsChild>
        <w:div w:id="2028360146">
          <w:marLeft w:val="0"/>
          <w:marRight w:val="0"/>
          <w:marTop w:val="300"/>
          <w:marBottom w:val="0"/>
          <w:divBdr>
            <w:top w:val="none" w:sz="0" w:space="0" w:color="auto"/>
            <w:left w:val="none" w:sz="0" w:space="0" w:color="auto"/>
            <w:bottom w:val="none" w:sz="0" w:space="0" w:color="auto"/>
            <w:right w:val="none" w:sz="0" w:space="0" w:color="auto"/>
          </w:divBdr>
          <w:divsChild>
            <w:div w:id="209605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3)" TargetMode="External"/><Relationship Id="rId3" Type="http://schemas.openxmlformats.org/officeDocument/2006/relationships/webSettings" Target="webSettings.xml"/><Relationship Id="rId7" Type="http://schemas.openxmlformats.org/officeDocument/2006/relationships/hyperlink" Target="javascript:doZoom(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719</Words>
  <Characters>4102</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2019-01-25T07:52:00Z</dcterms:created>
  <dcterms:modified xsi:type="dcterms:W3CDTF">2019-01-25T07:53:00Z</dcterms:modified>
</cp:coreProperties>
</file>