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B3E26">
      <w:pPr>
        <w:divId w:val="920917417"/>
        <w:rPr>
          <w:lang/>
        </w:rPr>
      </w:pPr>
      <w:r>
        <w:rPr>
          <w:lang/>
        </w:rPr>
        <w:t xml:space="preserve"> </w:t>
      </w:r>
    </w:p>
    <w:p w:rsidR="00000000" w:rsidRDefault="00DB3E26">
      <w:pPr>
        <w:pStyle w:val="4"/>
        <w:divId w:val="1378748455"/>
        <w:rPr>
          <w:lang/>
        </w:rPr>
      </w:pPr>
      <w:r>
        <w:rPr>
          <w:lang/>
        </w:rPr>
        <w:t>韶关市人民政府关于创新完善中小微企业投融资机制的若干意见（韶府〔</w:t>
      </w:r>
      <w:r>
        <w:rPr>
          <w:lang/>
        </w:rPr>
        <w:t>2016</w:t>
      </w:r>
      <w:r>
        <w:rPr>
          <w:lang/>
        </w:rPr>
        <w:t>〕</w:t>
      </w:r>
      <w:r>
        <w:rPr>
          <w:lang/>
        </w:rPr>
        <w:t>54</w:t>
      </w:r>
      <w:r>
        <w:rPr>
          <w:lang/>
        </w:rPr>
        <w:t>号）</w:t>
      </w:r>
    </w:p>
    <w:p w:rsidR="00000000" w:rsidRDefault="00DB3E26">
      <w:pPr>
        <w:pStyle w:val="6"/>
        <w:divId w:val="1378748455"/>
        <w:rPr>
          <w:rFonts w:hint="eastAsia"/>
          <w:lang/>
        </w:rPr>
      </w:pPr>
      <w:r>
        <w:rPr>
          <w:lang/>
        </w:rPr>
        <w:t>发布时间：</w:t>
      </w:r>
      <w:r>
        <w:rPr>
          <w:lang/>
        </w:rPr>
        <w:t>2017-05-2</w:t>
      </w:r>
      <w:r>
        <w:rPr>
          <w:lang/>
        </w:rPr>
        <w:t>3</w:t>
      </w:r>
      <w:r>
        <w:rPr>
          <w:lang/>
        </w:rPr>
        <w:t xml:space="preserve"> </w:t>
      </w:r>
      <w:r>
        <w:rPr>
          <w:lang/>
        </w:rPr>
        <w:t>字体：</w:t>
      </w:r>
      <w:r>
        <w:rPr>
          <w:lang/>
        </w:rPr>
        <w:t xml:space="preserve">[ </w:t>
      </w:r>
      <w:hyperlink r:id="rId5" w:history="1">
        <w:r>
          <w:rPr>
            <w:rStyle w:val="a3"/>
            <w:lang/>
          </w:rPr>
          <w:t>大</w:t>
        </w:r>
      </w:hyperlink>
      <w:hyperlink r:id="rId6" w:history="1">
        <w:r>
          <w:rPr>
            <w:rStyle w:val="a3"/>
            <w:lang/>
          </w:rPr>
          <w:t>中</w:t>
        </w:r>
      </w:hyperlink>
      <w:hyperlink r:id="rId7" w:history="1">
        <w:r>
          <w:rPr>
            <w:rStyle w:val="a3"/>
            <w:lang/>
          </w:rPr>
          <w:t>小</w:t>
        </w:r>
      </w:hyperlink>
      <w:r>
        <w:rPr>
          <w:lang/>
        </w:rPr>
        <w:t xml:space="preserve"> </w:t>
      </w:r>
      <w:r>
        <w:rPr>
          <w:lang/>
        </w:rPr>
        <w:t>]</w:t>
      </w:r>
      <w:r>
        <w:rPr>
          <w:lang/>
        </w:rPr>
        <w:t xml:space="preserve"> </w:t>
      </w:r>
    </w:p>
    <w:p w:rsidR="00000000" w:rsidRDefault="00DB3E26">
      <w:pPr>
        <w:pStyle w:val="a5"/>
        <w:divId w:val="1923295711"/>
        <w:rPr>
          <w:lang/>
        </w:rPr>
      </w:pPr>
      <w:r>
        <w:rPr>
          <w:lang/>
        </w:rPr>
        <w:t xml:space="preserve">　　各县（市、区）人民政府，市政府各部门、各直属机构，中省驻韶各单位</w:t>
      </w:r>
      <w:r>
        <w:rPr>
          <w:lang/>
        </w:rPr>
        <w:t>：</w:t>
      </w:r>
      <w:r>
        <w:rPr>
          <w:lang/>
        </w:rPr>
        <w:t> </w:t>
      </w:r>
    </w:p>
    <w:p w:rsidR="00000000" w:rsidRDefault="00DB3E26">
      <w:pPr>
        <w:pStyle w:val="a5"/>
        <w:divId w:val="1923295711"/>
        <w:rPr>
          <w:lang/>
        </w:rPr>
      </w:pPr>
      <w:r>
        <w:rPr>
          <w:lang/>
        </w:rPr>
        <w:t xml:space="preserve">　　中小微企业是国民经济的重要组成部分，促进中小微企业健康发展，是稳增长促改革调结构惠民生防风险的重要举措。为深入贯彻落实中央、省关于扶持中小微企业发展的决策部署，紧紧围绕我市经济工作重心，以发展壮大金融业、促进地方经济振兴发展为目</w:t>
      </w:r>
      <w:r>
        <w:rPr>
          <w:lang/>
        </w:rPr>
        <w:t>的，以优化信贷结构、加强金融服务为抓手，创新完善中小微企业投融资机制，切实缓解其面临的融资难、融资贵问题，按照《广东省人民政府关于创新完善中小微企业投融资机制的若干意见》（粤府〔</w:t>
      </w:r>
      <w:r>
        <w:t>2015</w:t>
      </w:r>
      <w:r>
        <w:rPr>
          <w:lang/>
        </w:rPr>
        <w:t>〕</w:t>
      </w:r>
      <w:r>
        <w:t>66</w:t>
      </w:r>
      <w:r>
        <w:rPr>
          <w:lang/>
        </w:rPr>
        <w:t>号）精神，结合我市实际情况，制定本意见</w:t>
      </w:r>
      <w:r>
        <w:rPr>
          <w:lang/>
        </w:rPr>
        <w:t>。</w:t>
      </w:r>
      <w:r>
        <w:rPr>
          <w:lang/>
        </w:rPr>
        <w:t> </w:t>
      </w:r>
    </w:p>
    <w:p w:rsidR="00000000" w:rsidRDefault="00DB3E26">
      <w:pPr>
        <w:pStyle w:val="a5"/>
        <w:divId w:val="1923295711"/>
        <w:rPr>
          <w:lang/>
        </w:rPr>
      </w:pPr>
      <w:r>
        <w:rPr>
          <w:lang/>
        </w:rPr>
        <w:t xml:space="preserve">　　一、建立市中小微企业信用信息和融资对接平台。按照省统一标准，加快建设</w:t>
      </w:r>
      <w:r>
        <w:rPr>
          <w:lang/>
        </w:rPr>
        <w:t>“</w:t>
      </w:r>
      <w:r>
        <w:rPr>
          <w:lang/>
        </w:rPr>
        <w:t>市中小微企业信用信息和融资对接平台</w:t>
      </w:r>
      <w:r>
        <w:rPr>
          <w:lang/>
        </w:rPr>
        <w:t>”</w:t>
      </w:r>
      <w:r>
        <w:rPr>
          <w:lang/>
        </w:rPr>
        <w:t>，实现中小微企业的信用信息查询、信用评级、网上申贷以及融资供需信息发布、撮合跟进，推进各级政府部门以及为中小微企业融资服务的银行、保险公司、融资性担保公司、小额贷款公</w:t>
      </w:r>
      <w:r>
        <w:rPr>
          <w:lang/>
        </w:rPr>
        <w:t>司等机构共享信用评级及有关信息。建设完善互联互通的政务信息资源共享平台，加快推进税务、工商、供电、城管等部门的各类信息采集和共享，并实现与省信用信息和融资平台的对接。依托市中小微企业信用信息和融资平台，市发改局、市经信局、市金融局、市人民银行联合出台《韶关市政银企对接工作实施方案》，通过召开政银企联席会、银企对接洽谈会、定期发布中小微企业资金需求信息、组织银行实地考察企业等多种方式，加强银行机构和企业之间的沟通对接，切实解决银企间信息不对称问题，提升中小微企业对信贷资金的吸引力和承载力。（市人民银行、经信局</w:t>
      </w:r>
      <w:r>
        <w:rPr>
          <w:lang/>
        </w:rPr>
        <w:t>牵头，市财政局、市直有关部门参与</w:t>
      </w:r>
      <w:r>
        <w:rPr>
          <w:lang/>
        </w:rPr>
        <w:t>）</w:t>
      </w:r>
      <w:r>
        <w:rPr>
          <w:lang/>
        </w:rPr>
        <w:t> </w:t>
      </w:r>
    </w:p>
    <w:p w:rsidR="00000000" w:rsidRDefault="00DB3E26">
      <w:pPr>
        <w:pStyle w:val="a5"/>
        <w:divId w:val="1923295711"/>
        <w:rPr>
          <w:lang/>
        </w:rPr>
      </w:pPr>
      <w:r>
        <w:rPr>
          <w:lang/>
        </w:rPr>
        <w:t xml:space="preserve">　　二、大力发展投资基金。积极利用广东省战略性新兴产业创业投资引导基金、珠江西岸先进装备制造产业发展基金等省级投资基金，支持创办战略性新兴产业和高新技术中小微企业，引导社会资本重点支持智能制造、高端装备、生物医药、新能源、节能环保等新兴产业领域的初创期中小微企业。加快已经设立的产业投资基金和创业投资基金落地工作，有效对接资金项目，提高基金使用绩效。鼓励和引导民间资本进入创业投资、私募股权投资、风险投资领域。依托产业园区、高新区、孵化器集群区引导各类基金集聚发展。充分发挥</w:t>
      </w:r>
      <w:r>
        <w:rPr>
          <w:lang/>
        </w:rPr>
        <w:t>政府投资的引导和放大作用，依法设立政府出资的产业引导投资基金。市财政出资部分，在基金退出时将净收益全部依法让渡给其他投资方。（市经信局牵头，市发改局、财政局、科技局、金融局参与）</w:t>
      </w:r>
      <w:r>
        <w:t>   </w:t>
      </w:r>
      <w:r>
        <w:t xml:space="preserve"> </w:t>
      </w:r>
      <w:r>
        <w:rPr>
          <w:lang/>
        </w:rPr>
        <w:t> </w:t>
      </w:r>
    </w:p>
    <w:p w:rsidR="00000000" w:rsidRDefault="00DB3E26">
      <w:pPr>
        <w:pStyle w:val="a5"/>
        <w:divId w:val="1923295711"/>
        <w:rPr>
          <w:lang/>
        </w:rPr>
      </w:pPr>
      <w:r>
        <w:rPr>
          <w:lang/>
        </w:rPr>
        <w:t xml:space="preserve">　　三、完善中小微企业信贷风险补偿机制。充分运用好</w:t>
      </w:r>
      <w:r>
        <w:rPr>
          <w:lang/>
        </w:rPr>
        <w:t>“</w:t>
      </w:r>
      <w:r>
        <w:rPr>
          <w:lang/>
        </w:rPr>
        <w:t>中小企业贷款风险补偿基金</w:t>
      </w:r>
      <w:r>
        <w:rPr>
          <w:lang/>
        </w:rPr>
        <w:t>”</w:t>
      </w:r>
      <w:r>
        <w:rPr>
          <w:lang/>
        </w:rPr>
        <w:t>、</w:t>
      </w:r>
      <w:r>
        <w:rPr>
          <w:lang/>
        </w:rPr>
        <w:t>“</w:t>
      </w:r>
      <w:r>
        <w:rPr>
          <w:lang/>
        </w:rPr>
        <w:t>科技企业风险补偿金</w:t>
      </w:r>
      <w:r>
        <w:rPr>
          <w:lang/>
        </w:rPr>
        <w:t>”</w:t>
      </w:r>
      <w:r>
        <w:rPr>
          <w:lang/>
        </w:rPr>
        <w:t>等中小微企业信贷风险补偿机制，引导银行对重点产业集群、大型龙头企业上下游产业链、商圈等中小微企业集聚群体提供批量贷款，中小微企业信贷风险补偿资金提供增信支持。支持各县（市、区）设立中小微企业信贷风险补偿资金，对提供中小微企业融资服务的银行、担保、保险等机构给予风险补偿。市财政加大专项资金额度继续完善</w:t>
      </w:r>
      <w:r>
        <w:rPr>
          <w:lang/>
        </w:rPr>
        <w:t>“</w:t>
      </w:r>
      <w:r>
        <w:rPr>
          <w:lang/>
        </w:rPr>
        <w:t>政银保</w:t>
      </w:r>
      <w:r>
        <w:rPr>
          <w:lang/>
        </w:rPr>
        <w:t>”</w:t>
      </w:r>
      <w:r>
        <w:rPr>
          <w:lang/>
        </w:rPr>
        <w:t>政策。组织认定市级科技企业孵化器，探索实施科技企业孵化器创业投资及信贷风险补偿制度，为科技型中小微企业创业者提供专业技术、投融资等服务，让创业者在创业过程中节省时间，营造创业者</w:t>
      </w:r>
      <w:r>
        <w:rPr>
          <w:lang/>
        </w:rPr>
        <w:t>聚集效应，提高创业成功率，加快推进我市中小微企业发展。〔市经信局、科技局、金融局牵头，市财政局、市人民银行、韶关银监分局、各县（市、区）政府参与</w:t>
      </w:r>
      <w:r>
        <w:rPr>
          <w:lang/>
        </w:rPr>
        <w:t>〕</w:t>
      </w:r>
      <w:r>
        <w:rPr>
          <w:lang/>
        </w:rPr>
        <w:t> </w:t>
      </w:r>
    </w:p>
    <w:p w:rsidR="00000000" w:rsidRDefault="00DB3E26">
      <w:pPr>
        <w:pStyle w:val="a5"/>
        <w:divId w:val="1923295711"/>
        <w:rPr>
          <w:lang/>
        </w:rPr>
      </w:pPr>
      <w:r>
        <w:rPr>
          <w:lang/>
        </w:rPr>
        <w:t xml:space="preserve">　　四、建立健全中小微企业融资政策性担保和再担保机构。充分利用好省财政</w:t>
      </w:r>
      <w:r>
        <w:rPr>
          <w:lang/>
        </w:rPr>
        <w:t>5000</w:t>
      </w:r>
      <w:r>
        <w:rPr>
          <w:lang/>
        </w:rPr>
        <w:t>万元担保股权投资基金，通过与粤财投资控股有限公司合作、吸引民间资本参与等方式，推动政策性担保机构进一步发展。遴选试点合作银行，对政策性担保机构担保的中小微企业贷款，协商不高于上年度全市银行贷款的加权平均利率；政策性担保机构向中小微企业收取的担保费年化费率不超过</w:t>
      </w:r>
      <w:r>
        <w:t>2%</w:t>
      </w:r>
      <w:r>
        <w:rPr>
          <w:lang/>
        </w:rPr>
        <w:t>，不收取任何附加费用</w:t>
      </w:r>
      <w:r>
        <w:rPr>
          <w:lang/>
        </w:rPr>
        <w:t>。探索新组建政策性担保公司或对现有担保机构增资扩股，开展再担保业务，为担保机构增信。政策性担保机构或再担保机构的市级财政资金净收益，全额让渡给担保机构的其他收益方。（市金融局牵头，市经信局、财政局、市人民银行、韶关银监分局参与</w:t>
      </w:r>
      <w:r>
        <w:rPr>
          <w:lang/>
        </w:rPr>
        <w:t>）</w:t>
      </w:r>
      <w:r>
        <w:rPr>
          <w:lang/>
        </w:rPr>
        <w:t> </w:t>
      </w:r>
    </w:p>
    <w:p w:rsidR="00000000" w:rsidRDefault="00DB3E26">
      <w:pPr>
        <w:pStyle w:val="a5"/>
        <w:divId w:val="1923295711"/>
        <w:rPr>
          <w:lang/>
        </w:rPr>
      </w:pPr>
      <w:r>
        <w:rPr>
          <w:lang/>
        </w:rPr>
        <w:t xml:space="preserve">　　五、推动小额贷款保证保险业务发展。发挥信用保证保险的融资担保和增信功能，遴选一批保险公司和银行，对中小微企业开展小额贷款保证保险业务融资服务。市财政出资对投保贷款保证保险的中小微企业按一定比例补贴保险费用。对产生不良贷款的本金损失部分，保险公司和银行按比例共同分担。（市金融局</w:t>
      </w:r>
      <w:r>
        <w:rPr>
          <w:lang/>
        </w:rPr>
        <w:t>牵头，市经信局、财政局、市人民银行、韶关银监分局参与</w:t>
      </w:r>
      <w:r>
        <w:rPr>
          <w:lang/>
        </w:rPr>
        <w:t>）</w:t>
      </w:r>
      <w:r>
        <w:rPr>
          <w:lang/>
        </w:rPr>
        <w:t> </w:t>
      </w:r>
    </w:p>
    <w:p w:rsidR="00000000" w:rsidRDefault="00DB3E26">
      <w:pPr>
        <w:pStyle w:val="a5"/>
        <w:divId w:val="1923295711"/>
        <w:rPr>
          <w:lang/>
        </w:rPr>
      </w:pPr>
      <w:r>
        <w:rPr>
          <w:lang/>
        </w:rPr>
        <w:t xml:space="preserve">　　六、强化银行机构对中小微企业的融资服务。支持银行业金融机构加强中小微企业金融服务专营机构建设，创新中小微企业信贷产品和服务方式，全面推进</w:t>
      </w:r>
      <w:r>
        <w:rPr>
          <w:lang/>
        </w:rPr>
        <w:t>“</w:t>
      </w:r>
      <w:r>
        <w:rPr>
          <w:lang/>
        </w:rPr>
        <w:t>税银合作</w:t>
      </w:r>
      <w:r>
        <w:rPr>
          <w:lang/>
        </w:rPr>
        <w:t>”</w:t>
      </w:r>
      <w:r>
        <w:rPr>
          <w:lang/>
        </w:rPr>
        <w:t>工作，鼓励银行业金融机构与创投、风投基金合作，探索开展投贷联动业务。鼓励银行开展存货、订单、仓单、保单、股权、应收账款、知识产权、林权、土地使用权、土地经营权、农户财产权、商铺使用权等抵质押贷款和在建工程、机械设备抵押贷款业务。鼓励融资性担保机构开展新型抵质押担保服务。市人民银行要通过灵活运用支农再贷</w:t>
      </w:r>
      <w:r>
        <w:rPr>
          <w:lang/>
        </w:rPr>
        <w:t>款、支小再贷款、扶贫再贷款、再贴现以及存款准备金率等货币政策工具，积极引导和鼓励银行机构加大对中小微企业的信贷投入力度。支持符合条件的产业资本、民间资本依法发起设立消费金融公司、汽车金融公司等新型金融机构，强化小金融机构主要为中小微企业服务的市场定位，针对中小微企业经营特点和融资需求特征创新产品和服务。（市人民银行、韶关银监分局牵头，市经信局、财政局、金融局参与</w:t>
      </w:r>
      <w:r>
        <w:rPr>
          <w:lang/>
        </w:rPr>
        <w:t>）</w:t>
      </w:r>
      <w:r>
        <w:rPr>
          <w:lang/>
        </w:rPr>
        <w:t> </w:t>
      </w:r>
    </w:p>
    <w:p w:rsidR="00000000" w:rsidRDefault="00DB3E26">
      <w:pPr>
        <w:pStyle w:val="a5"/>
        <w:divId w:val="1923295711"/>
        <w:rPr>
          <w:lang/>
        </w:rPr>
      </w:pPr>
      <w:r>
        <w:rPr>
          <w:lang/>
        </w:rPr>
        <w:t xml:space="preserve">　　七、开展中小微企业转贷方式创新试点。降低中小微企业</w:t>
      </w:r>
      <w:r>
        <w:rPr>
          <w:lang/>
        </w:rPr>
        <w:t>“</w:t>
      </w:r>
      <w:r>
        <w:rPr>
          <w:lang/>
        </w:rPr>
        <w:t>过桥融资</w:t>
      </w:r>
      <w:r>
        <w:rPr>
          <w:lang/>
        </w:rPr>
        <w:t>”</w:t>
      </w:r>
      <w:r>
        <w:rPr>
          <w:lang/>
        </w:rPr>
        <w:t>成本。依托我市政策性小额贷款公司设立中小微企业转贷资金池，引导社会资本参与，</w:t>
      </w:r>
      <w:r>
        <w:rPr>
          <w:lang/>
        </w:rPr>
        <w:t>对银行审核符合续贷条件的中小微企业，由资金池提供转贷周转资金，支持银行在风险可控的前提下，通过提前续贷审批、设立循环贷款、合理分期偿还贷款本金等措施，提高转贷率，减轻中小微企业还款压力。（市经信局牵头，市金融局、财政局参与）</w:t>
      </w:r>
      <w:r>
        <w:t> </w:t>
      </w:r>
      <w:r>
        <w:t xml:space="preserve"> </w:t>
      </w:r>
      <w:r>
        <w:rPr>
          <w:lang/>
        </w:rPr>
        <w:t> </w:t>
      </w:r>
    </w:p>
    <w:p w:rsidR="00000000" w:rsidRDefault="00DB3E26">
      <w:pPr>
        <w:pStyle w:val="a5"/>
        <w:divId w:val="1923295711"/>
        <w:rPr>
          <w:lang/>
        </w:rPr>
      </w:pPr>
      <w:r>
        <w:rPr>
          <w:lang/>
        </w:rPr>
        <w:t xml:space="preserve">　　八、积极稳妥发展小额贷款。积极争取省财政安排的对小额贷款公司的风险补偿资金。探索通过财政贴息等方式，鼓励优质小额贷款公司创新开展业务、提高融资比率、跨县域经营。支持小额贷款公司通过信贷资产证券化，向银行、证券、保险机构等渠道融资，增加信贷资金供给。（市金融局牵头，市财政局参与</w:t>
      </w:r>
      <w:r>
        <w:rPr>
          <w:lang/>
        </w:rPr>
        <w:t>）</w:t>
      </w:r>
      <w:r>
        <w:rPr>
          <w:lang/>
        </w:rPr>
        <w:t> </w:t>
      </w:r>
    </w:p>
    <w:p w:rsidR="00000000" w:rsidRDefault="00DB3E26">
      <w:pPr>
        <w:pStyle w:val="a5"/>
        <w:divId w:val="1923295711"/>
        <w:rPr>
          <w:lang/>
        </w:rPr>
      </w:pPr>
      <w:r>
        <w:rPr>
          <w:lang/>
        </w:rPr>
        <w:t xml:space="preserve">　　九、支持中小微企业利用多层次资本市场融资。充分发挥《韶关市人民政府关于印发韶关市促进企业上市挂牌若干措施的通知》（韶府〔</w:t>
      </w:r>
      <w:r>
        <w:t>2016</w:t>
      </w:r>
      <w:r>
        <w:rPr>
          <w:lang/>
        </w:rPr>
        <w:t>〕</w:t>
      </w:r>
      <w:r>
        <w:t>8</w:t>
      </w:r>
      <w:r>
        <w:rPr>
          <w:lang/>
        </w:rPr>
        <w:t>号）的激励作用，鼓励符合条件的企业改制上市，积极推动中小微企业进入全国中小企业股份转让系统挂牌融资，引导暂未达到新三板挂牌条件的企业进入广州、深圳前海、广东金融高新区等区域性股权市场挂牌融资。充分发挥省内外各区域性股权市场的作用，支持其在韶关地区设立运营中心或服务机构，实现</w:t>
      </w:r>
      <w:r>
        <w:rPr>
          <w:lang/>
        </w:rPr>
        <w:t>“</w:t>
      </w:r>
      <w:r>
        <w:rPr>
          <w:lang/>
        </w:rPr>
        <w:t>四板</w:t>
      </w:r>
      <w:r>
        <w:rPr>
          <w:lang/>
        </w:rPr>
        <w:t>”</w:t>
      </w:r>
      <w:r>
        <w:rPr>
          <w:lang/>
        </w:rPr>
        <w:t>市场服务延伸到本地，方便中小微企业直接融资。借助区域性股权市场推出的</w:t>
      </w:r>
      <w:r>
        <w:rPr>
          <w:lang/>
        </w:rPr>
        <w:t>“</w:t>
      </w:r>
      <w:r>
        <w:rPr>
          <w:lang/>
        </w:rPr>
        <w:t>广东省高成长中小企</w:t>
      </w:r>
      <w:r>
        <w:rPr>
          <w:lang/>
        </w:rPr>
        <w:t>业板</w:t>
      </w:r>
      <w:r>
        <w:rPr>
          <w:lang/>
        </w:rPr>
        <w:t>”</w:t>
      </w:r>
      <w:r>
        <w:rPr>
          <w:lang/>
        </w:rPr>
        <w:t>、</w:t>
      </w:r>
      <w:r>
        <w:rPr>
          <w:lang/>
        </w:rPr>
        <w:t>“</w:t>
      </w:r>
      <w:r>
        <w:rPr>
          <w:lang/>
        </w:rPr>
        <w:t>科技板</w:t>
      </w:r>
      <w:r>
        <w:rPr>
          <w:lang/>
        </w:rPr>
        <w:t>”</w:t>
      </w:r>
      <w:r>
        <w:rPr>
          <w:lang/>
        </w:rPr>
        <w:t>、</w:t>
      </w:r>
      <w:r>
        <w:rPr>
          <w:lang/>
        </w:rPr>
        <w:t>“</w:t>
      </w:r>
      <w:r>
        <w:rPr>
          <w:lang/>
        </w:rPr>
        <w:t>青创板</w:t>
      </w:r>
      <w:r>
        <w:rPr>
          <w:lang/>
        </w:rPr>
        <w:t>”</w:t>
      </w:r>
      <w:r>
        <w:rPr>
          <w:lang/>
        </w:rPr>
        <w:t>等，为中小微企业提供多元化融资和股权转让服务。对能够达到新三板挂牌或创业板、中小板上市标准的企业进行重点培育、孵化，条件成熟的推荐向高一层级的资本市场转板。（市金融局牵头，市经信局、财政局参与）</w:t>
      </w:r>
      <w:r>
        <w:t xml:space="preserve"> </w:t>
      </w:r>
      <w:r>
        <w:rPr>
          <w:lang/>
        </w:rPr>
        <w:t> </w:t>
      </w:r>
    </w:p>
    <w:p w:rsidR="00000000" w:rsidRDefault="00DB3E26">
      <w:pPr>
        <w:pStyle w:val="a5"/>
        <w:divId w:val="1923295711"/>
        <w:rPr>
          <w:lang/>
        </w:rPr>
      </w:pPr>
      <w:r>
        <w:rPr>
          <w:lang/>
        </w:rPr>
        <w:t xml:space="preserve">　　十、拓宽中小微企业发债融资渠道。重点依托区域性股权市场为中小微企业发行私募债，政策性担保机构对中小微企业发行私募债予以担保增信。鼓励符合条件的中小微企业和项目到银行间市场交易商协会发行债券融资工具。以产业园区、高新区、创业园区等企业集群为平台发行中小微企业区域集优债、区域集优票</w:t>
      </w:r>
      <w:r>
        <w:rPr>
          <w:lang/>
        </w:rPr>
        <w:t>据、小微企业增信集合债。市财政安排专项资金对中小微企业发债融资给予支持。（市人民银行、市金融局牵头，市发改局、经信局、财政局参与）</w:t>
      </w:r>
      <w:r>
        <w:t xml:space="preserve"> </w:t>
      </w:r>
      <w:r>
        <w:rPr>
          <w:lang/>
        </w:rPr>
        <w:t> </w:t>
      </w:r>
    </w:p>
    <w:p w:rsidR="00000000" w:rsidRDefault="00DB3E26">
      <w:pPr>
        <w:pStyle w:val="a5"/>
        <w:divId w:val="1923295711"/>
        <w:rPr>
          <w:lang/>
        </w:rPr>
      </w:pPr>
      <w:r>
        <w:rPr>
          <w:lang/>
        </w:rPr>
        <w:t xml:space="preserve">　　十一、支持市、县级政府平台公司加大对中小微企业的支持力度。政府平台公司要充分发挥在资金、人才、运营机制方面的优势，探索通过股权投资的方式入股有发展潜力的中小微企业，解决其发展资金不足问题，支持和帮助一批中小微企业完善企业治理结构，实现企业做大做强。〔市国资委牵头，市财政局、各县（市、区）政府参与</w:t>
      </w:r>
      <w:r>
        <w:rPr>
          <w:lang/>
        </w:rPr>
        <w:t>〕</w:t>
      </w:r>
      <w:r>
        <w:rPr>
          <w:lang/>
        </w:rPr>
        <w:t> </w:t>
      </w:r>
    </w:p>
    <w:p w:rsidR="00000000" w:rsidRDefault="00DB3E26">
      <w:pPr>
        <w:pStyle w:val="a5"/>
        <w:divId w:val="1923295711"/>
        <w:rPr>
          <w:lang/>
        </w:rPr>
      </w:pPr>
      <w:r>
        <w:rPr>
          <w:lang/>
        </w:rPr>
        <w:t xml:space="preserve">　　　</w:t>
      </w:r>
      <w:r>
        <w:rPr>
          <w:lang/>
        </w:rPr>
        <w:t xml:space="preserve"> </w:t>
      </w:r>
      <w:r>
        <w:rPr>
          <w:lang/>
        </w:rPr>
        <w:t>十二、支持开展中小微企业设备更新融资租赁。大力发展设备更新融资</w:t>
      </w:r>
      <w:r>
        <w:rPr>
          <w:lang/>
        </w:rPr>
        <w:t>租赁，支持中小微企业固定资产融资。实行融资租赁设备产品目录制管理，市财政安排专项资金，对融资租赁公司向中小微企业租赁产品目录中设备的，按租赁合同设备投资额的一定比例给予贴息。（市经信局牵头，市财政局、商务局参与</w:t>
      </w:r>
      <w:r>
        <w:rPr>
          <w:lang/>
        </w:rPr>
        <w:t>）</w:t>
      </w:r>
      <w:r>
        <w:rPr>
          <w:lang/>
        </w:rPr>
        <w:t> </w:t>
      </w:r>
    </w:p>
    <w:p w:rsidR="00000000" w:rsidRDefault="00DB3E26">
      <w:pPr>
        <w:pStyle w:val="a5"/>
        <w:divId w:val="1923295711"/>
        <w:rPr>
          <w:lang/>
        </w:rPr>
      </w:pPr>
      <w:r>
        <w:rPr>
          <w:lang/>
        </w:rPr>
        <w:t xml:space="preserve">　　十三、激活中小微企业抵质押物。盘活批而未供土地转用指标，对科技型、资金密集型、高成长中小微企业优先安排用地指标，简化土地使用权证办理手续。加快建立不动产统一登记制度，完善知识产权质押登记管理办法，发布知识产权质押评估技术规范。（市国土资源局、知识产权局牵头，市住建局、农业局、林业局、工商局参</w:t>
      </w:r>
      <w:r>
        <w:rPr>
          <w:lang/>
        </w:rPr>
        <w:t>与</w:t>
      </w:r>
      <w:r>
        <w:rPr>
          <w:lang/>
        </w:rPr>
        <w:t>）</w:t>
      </w:r>
      <w:r>
        <w:rPr>
          <w:lang/>
        </w:rPr>
        <w:t> </w:t>
      </w:r>
    </w:p>
    <w:p w:rsidR="00000000" w:rsidRDefault="00DB3E26">
      <w:pPr>
        <w:pStyle w:val="a5"/>
        <w:divId w:val="1923295711"/>
        <w:rPr>
          <w:lang/>
        </w:rPr>
      </w:pPr>
      <w:r>
        <w:rPr>
          <w:lang/>
        </w:rPr>
        <w:t xml:space="preserve">　　十四、加大对中小微企业票据贴现支持力度。在邮储银行韶关分行已经设立</w:t>
      </w:r>
      <w:r>
        <w:t>1</w:t>
      </w:r>
      <w:r>
        <w:rPr>
          <w:lang/>
        </w:rPr>
        <w:t>个</w:t>
      </w:r>
      <w:r>
        <w:rPr>
          <w:lang/>
        </w:rPr>
        <w:t>“</w:t>
      </w:r>
      <w:r>
        <w:rPr>
          <w:lang/>
        </w:rPr>
        <w:t>韶关市中小微企业小额票据贴现中心</w:t>
      </w:r>
      <w:r>
        <w:rPr>
          <w:lang/>
        </w:rPr>
        <w:t>”</w:t>
      </w:r>
      <w:r>
        <w:rPr>
          <w:lang/>
        </w:rPr>
        <w:t>的基础上，再遴选</w:t>
      </w:r>
      <w:r>
        <w:t>2</w:t>
      </w:r>
      <w:r>
        <w:rPr>
          <w:lang/>
        </w:rPr>
        <w:t>家银行机构增设</w:t>
      </w:r>
      <w:r>
        <w:rPr>
          <w:lang/>
        </w:rPr>
        <w:t>“</w:t>
      </w:r>
      <w:r>
        <w:rPr>
          <w:lang/>
        </w:rPr>
        <w:t>韶关市中小微企业小额票据贴现中心</w:t>
      </w:r>
      <w:r>
        <w:rPr>
          <w:lang/>
        </w:rPr>
        <w:t>”</w:t>
      </w:r>
      <w:r>
        <w:rPr>
          <w:lang/>
        </w:rPr>
        <w:t>，对中小微企业持有的小额商业汇票进行贴现，市人民银行要充分发挥再贴现货币政策工具的导向作用，向上级行争取再贴现额度，满足银行机构支持中小微企业票据贴现资金的需求。（市经信局、市人民银行牵头，市金融局、韶关银监分局参与</w:t>
      </w:r>
      <w:r>
        <w:rPr>
          <w:lang/>
        </w:rPr>
        <w:t>）</w:t>
      </w:r>
      <w:r>
        <w:rPr>
          <w:lang/>
        </w:rPr>
        <w:t> </w:t>
      </w:r>
    </w:p>
    <w:p w:rsidR="00000000" w:rsidRDefault="00DB3E26">
      <w:pPr>
        <w:pStyle w:val="a5"/>
        <w:divId w:val="1923295711"/>
        <w:rPr>
          <w:lang/>
        </w:rPr>
      </w:pPr>
      <w:r>
        <w:rPr>
          <w:lang/>
        </w:rPr>
        <w:t xml:space="preserve">　　十五、建立中小微企业投融资纠纷快速调解机制。建立适应中小微企业涉案资产少、处置时限短的快速调解和处理</w:t>
      </w:r>
      <w:r>
        <w:rPr>
          <w:lang/>
        </w:rPr>
        <w:t>纠纷的法律服务机制，加大对逃废债务等各类违法违规行为的打击力度。加强对中小微企业的司法救助力度，市财政支持设立国家司法救助专项资金，研究将确有困难的中小微企业纳入缓、减、免交诉讼费等司法救助范围。加强对中小微企业的法律服务。（市司法局牵头，市财政局、经信局参与</w:t>
      </w:r>
      <w:r>
        <w:rPr>
          <w:lang/>
        </w:rPr>
        <w:t>）</w:t>
      </w:r>
      <w:r>
        <w:rPr>
          <w:lang/>
        </w:rPr>
        <w:t> </w:t>
      </w:r>
    </w:p>
    <w:p w:rsidR="00000000" w:rsidRDefault="00DB3E26">
      <w:pPr>
        <w:pStyle w:val="a5"/>
        <w:divId w:val="1923295711"/>
        <w:rPr>
          <w:lang/>
        </w:rPr>
      </w:pPr>
      <w:r>
        <w:rPr>
          <w:lang/>
        </w:rPr>
        <w:t xml:space="preserve">　</w:t>
      </w:r>
      <w:r>
        <w:rPr>
          <w:lang/>
        </w:rPr>
        <w:t xml:space="preserve">　</w:t>
      </w:r>
      <w:r>
        <w:t> </w:t>
      </w:r>
      <w:r>
        <w:rPr>
          <w:lang/>
        </w:rPr>
        <w:t> </w:t>
      </w:r>
    </w:p>
    <w:p w:rsidR="00000000" w:rsidRDefault="00DB3E26">
      <w:pPr>
        <w:pStyle w:val="a5"/>
        <w:divId w:val="1923295711"/>
        <w:rPr>
          <w:lang/>
        </w:rPr>
      </w:pPr>
      <w:r>
        <w:rPr>
          <w:lang/>
        </w:rPr>
        <w:t xml:space="preserve">　</w:t>
      </w:r>
      <w:r>
        <w:rPr>
          <w:lang/>
        </w:rPr>
        <w:t xml:space="preserve">　</w:t>
      </w:r>
      <w:r>
        <w:t> </w:t>
      </w:r>
      <w:r>
        <w:rPr>
          <w:lang/>
        </w:rPr>
        <w:t> </w:t>
      </w:r>
    </w:p>
    <w:p w:rsidR="00000000" w:rsidRDefault="00DB3E26">
      <w:pPr>
        <w:pStyle w:val="a5"/>
        <w:jc w:val="right"/>
        <w:divId w:val="1923295711"/>
        <w:rPr>
          <w:lang/>
        </w:rPr>
      </w:pPr>
      <w:r>
        <w:rPr>
          <w:lang/>
        </w:rPr>
        <w:t xml:space="preserve">　　</w:t>
      </w:r>
      <w:r>
        <w:t>                                 </w:t>
      </w:r>
      <w:r>
        <w:rPr>
          <w:lang/>
        </w:rPr>
        <w:t>韶关市人民政府</w:t>
      </w:r>
      <w:r>
        <w:rPr>
          <w:lang/>
        </w:rPr>
        <w:t xml:space="preserve"> </w:t>
      </w:r>
      <w:r>
        <w:rPr>
          <w:lang/>
        </w:rPr>
        <w:t> </w:t>
      </w:r>
    </w:p>
    <w:p w:rsidR="00000000" w:rsidRDefault="00DB3E26">
      <w:pPr>
        <w:pStyle w:val="a5"/>
        <w:jc w:val="right"/>
        <w:divId w:val="1923295711"/>
        <w:rPr>
          <w:lang/>
        </w:rPr>
      </w:pPr>
      <w:r>
        <w:rPr>
          <w:lang/>
        </w:rPr>
        <w:t xml:space="preserve">　</w:t>
      </w:r>
      <w:r>
        <w:rPr>
          <w:lang/>
        </w:rPr>
        <w:t xml:space="preserve">　</w:t>
      </w:r>
      <w:r>
        <w:t>2016</w:t>
      </w:r>
      <w:r>
        <w:rPr>
          <w:lang/>
        </w:rPr>
        <w:t>年</w:t>
      </w:r>
      <w:r>
        <w:t>11</w:t>
      </w:r>
      <w:r>
        <w:rPr>
          <w:lang/>
        </w:rPr>
        <w:t>月</w:t>
      </w:r>
      <w:r>
        <w:t>4</w:t>
      </w:r>
      <w:r>
        <w:rPr>
          <w:lang/>
        </w:rPr>
        <w:t>日</w:t>
      </w:r>
      <w:r>
        <w:rPr>
          <w:lang/>
        </w:rPr>
        <w:t> </w:t>
      </w:r>
    </w:p>
    <w:p w:rsidR="00000000" w:rsidRDefault="00DB3E26" w:rsidP="00DB3E26">
      <w:pPr>
        <w:pStyle w:val="a5"/>
        <w:divId w:val="1923295711"/>
      </w:pPr>
      <w:r>
        <w:rPr>
          <w:lang/>
        </w:rPr>
        <w:t xml:space="preserve">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1F17"/>
    <w:multiLevelType w:val="multilevel"/>
    <w:tmpl w:val="77DC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F11489"/>
    <w:multiLevelType w:val="multilevel"/>
    <w:tmpl w:val="0F16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240F0C"/>
    <w:rsid w:val="00240F0C"/>
    <w:rsid w:val="00DB3E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b/>
      <w:bCs/>
      <w:kern w:val="36"/>
      <w:sz w:val="48"/>
      <w:szCs w:val="48"/>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4">
    <w:name w:val="heading 4"/>
    <w:basedOn w:val="a"/>
    <w:link w:val="4Char"/>
    <w:uiPriority w:val="9"/>
    <w:qFormat/>
    <w:pPr>
      <w:spacing w:before="100" w:beforeAutospacing="1" w:after="100" w:afterAutospacing="1"/>
      <w:outlineLvl w:val="3"/>
    </w:pPr>
    <w:rPr>
      <w:b/>
      <w:bCs/>
    </w:rPr>
  </w:style>
  <w:style w:type="paragraph" w:styleId="6">
    <w:name w:val="heading 6"/>
    <w:basedOn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t10">
    <w:name w:val="mt10"/>
    <w:basedOn w:val="a"/>
    <w:pPr>
      <w:spacing w:before="100" w:beforeAutospacing="1" w:after="100" w:afterAutospacing="1"/>
    </w:pPr>
  </w:style>
  <w:style w:type="paragraph" w:customStyle="1" w:styleId="zkhyc">
    <w:name w:val="zkhyc"/>
    <w:basedOn w:val="a"/>
    <w:pPr>
      <w:spacing w:before="100" w:beforeAutospacing="1" w:after="100" w:afterAutospacing="1"/>
    </w:pPr>
    <w:rPr>
      <w:vanish/>
    </w:rPr>
  </w:style>
  <w:style w:type="character" w:customStyle="1" w:styleId="1Char">
    <w:name w:val="标题 1 Char"/>
    <w:basedOn w:val="a0"/>
    <w:link w:val="1"/>
    <w:uiPriority w:val="9"/>
    <w:rPr>
      <w:rFonts w:ascii="宋体" w:eastAsia="宋体" w:hAnsi="宋体" w:cs="宋体"/>
      <w:b/>
      <w:bCs/>
      <w:kern w:val="44"/>
      <w:sz w:val="44"/>
      <w:szCs w:val="44"/>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lose">
    <w:name w:val="close"/>
    <w:basedOn w:val="a0"/>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paragraph" w:styleId="a5">
    <w:name w:val="Normal (Web)"/>
    <w:basedOn w:val="a"/>
    <w:uiPriority w:val="99"/>
    <w:unhideWhenUsed/>
    <w:pPr>
      <w:spacing w:before="100" w:beforeAutospacing="1" w:after="100" w:afterAutospacing="1"/>
    </w:pPr>
  </w:style>
  <w:style w:type="paragraph" w:customStyle="1" w:styleId="appendix">
    <w:name w:val="appendix"/>
    <w:basedOn w:val="a"/>
    <w:pPr>
      <w:spacing w:before="240" w:after="100" w:afterAutospacing="1"/>
    </w:pPr>
  </w:style>
  <w:style w:type="character" w:customStyle="1" w:styleId="dis-in-b">
    <w:name w:val="dis-in-b"/>
    <w:basedOn w:val="a0"/>
  </w:style>
  <w:style w:type="paragraph" w:customStyle="1" w:styleId="bot-p">
    <w:name w:val="bot-p"/>
    <w:basedOn w:val="a"/>
    <w:pPr>
      <w:spacing w:before="100" w:beforeAutospacing="1" w:after="100" w:afterAutospacing="1"/>
    </w:pPr>
  </w:style>
  <w:style w:type="paragraph" w:customStyle="1" w:styleId="f-link">
    <w:name w:val="f-link"/>
    <w:basedOn w:val="a"/>
    <w:pPr>
      <w:spacing w:before="100" w:beforeAutospacing="1" w:after="100" w:afterAutospacing="1"/>
    </w:pPr>
  </w:style>
  <w:style w:type="paragraph" w:customStyle="1" w:styleId="ico">
    <w:name w:val="ico"/>
    <w:basedOn w:val="a"/>
    <w:pPr>
      <w:spacing w:before="100" w:beforeAutospacing="1" w:after="100" w:afterAutospacing="1"/>
    </w:pPr>
  </w:style>
  <w:style w:type="character" w:styleId="HTML">
    <w:name w:val="HTML Cite"/>
    <w:basedOn w:val="a0"/>
    <w:uiPriority w:val="99"/>
    <w:semiHidden/>
    <w:unhideWhenUsed/>
    <w:rPr>
      <w:i/>
      <w:iCs/>
    </w:rPr>
  </w:style>
  <w:style w:type="character" w:styleId="a6">
    <w:name w:val="Emphasis"/>
    <w:basedOn w:val="a0"/>
    <w:uiPriority w:val="20"/>
    <w:qFormat/>
    <w:rPr>
      <w:i/>
      <w:iCs/>
    </w:rPr>
  </w:style>
  <w:style w:type="paragraph" w:customStyle="1" w:styleId="layui-layer-imgbar">
    <w:name w:val="layui-layer-imgbar"/>
    <w:basedOn w:val="a"/>
    <w:pPr>
      <w:spacing w:before="100" w:beforeAutospacing="1" w:after="100" w:afterAutospacing="1" w:line="384" w:lineRule="atLeast"/>
    </w:pPr>
    <w:rPr>
      <w:vanish/>
      <w:color w:val="FFFFFF"/>
      <w:sz w:val="2"/>
      <w:szCs w:val="2"/>
    </w:rPr>
  </w:style>
  <w:style w:type="paragraph" w:customStyle="1" w:styleId="layui-layer-title">
    <w:name w:val="layui-layer-title"/>
    <w:basedOn w:val="a"/>
    <w:pPr>
      <w:pBdr>
        <w:bottom w:val="single" w:sz="4" w:space="0" w:color="EEEEEE"/>
      </w:pBdr>
      <w:shd w:val="clear" w:color="auto" w:fill="F8F8F8"/>
      <w:spacing w:before="100" w:beforeAutospacing="1" w:after="100" w:afterAutospacing="1" w:line="504" w:lineRule="atLeast"/>
    </w:pPr>
    <w:rPr>
      <w:color w:val="333333"/>
      <w:sz w:val="17"/>
      <w:szCs w:val="17"/>
    </w:rPr>
  </w:style>
  <w:style w:type="paragraph" w:customStyle="1" w:styleId="layui-layer-shade">
    <w:name w:val="layui-layer-shade"/>
    <w:basedOn w:val="a"/>
    <w:pPr>
      <w:spacing w:before="100" w:beforeAutospacing="1" w:after="100" w:afterAutospacing="1"/>
    </w:pPr>
  </w:style>
  <w:style w:type="paragraph" w:customStyle="1" w:styleId="layui-layer">
    <w:name w:val="layui-layer"/>
    <w:basedOn w:val="a"/>
    <w:pPr>
      <w:shd w:val="clear" w:color="auto" w:fill="FFFFFF"/>
    </w:pPr>
  </w:style>
  <w:style w:type="paragraph" w:customStyle="1" w:styleId="layui-layer-border">
    <w:name w:val="layui-layer-border"/>
    <w:basedOn w:val="a"/>
    <w:pPr>
      <w:pBdr>
        <w:top w:val="single" w:sz="4" w:space="0" w:color="B2B2B2"/>
        <w:left w:val="single" w:sz="4" w:space="0" w:color="B2B2B2"/>
        <w:bottom w:val="single" w:sz="4" w:space="0" w:color="B2B2B2"/>
        <w:right w:val="single" w:sz="4" w:space="0" w:color="B2B2B2"/>
      </w:pBdr>
      <w:spacing w:before="100" w:beforeAutospacing="1" w:after="100" w:afterAutospacing="1"/>
    </w:pPr>
  </w:style>
  <w:style w:type="paragraph" w:customStyle="1" w:styleId="layui-layer-load">
    <w:name w:val="layui-layer-load"/>
    <w:basedOn w:val="a"/>
    <w:pPr>
      <w:shd w:val="clear" w:color="auto" w:fill="EEEEEE"/>
      <w:spacing w:before="100" w:beforeAutospacing="1" w:after="100" w:afterAutospacing="1"/>
    </w:pPr>
  </w:style>
  <w:style w:type="paragraph" w:customStyle="1" w:styleId="layui-layer-ico">
    <w:name w:val="layui-layer-ico"/>
    <w:basedOn w:val="a"/>
    <w:pPr>
      <w:spacing w:before="100" w:beforeAutospacing="1" w:after="100" w:afterAutospacing="1"/>
    </w:pPr>
  </w:style>
  <w:style w:type="paragraph" w:customStyle="1" w:styleId="layui-layer-move">
    <w:name w:val="layui-layer-move"/>
    <w:basedOn w:val="a"/>
    <w:pPr>
      <w:shd w:val="clear" w:color="auto" w:fill="FFFFFF"/>
      <w:spacing w:before="100" w:beforeAutospacing="1" w:after="100" w:afterAutospacing="1"/>
    </w:pPr>
    <w:rPr>
      <w:vanish/>
    </w:rPr>
  </w:style>
  <w:style w:type="paragraph" w:customStyle="1" w:styleId="layui-layer-resize">
    <w:name w:val="layui-layer-resize"/>
    <w:basedOn w:val="a"/>
    <w:pPr>
      <w:spacing w:before="100" w:beforeAutospacing="1" w:after="100" w:afterAutospacing="1"/>
    </w:pPr>
  </w:style>
  <w:style w:type="paragraph" w:customStyle="1" w:styleId="layui-layer-setwin">
    <w:name w:val="layui-layer-setwin"/>
    <w:basedOn w:val="a"/>
    <w:pPr>
      <w:spacing w:before="100" w:beforeAutospacing="1" w:after="100" w:afterAutospacing="1"/>
    </w:pPr>
    <w:rPr>
      <w:sz w:val="2"/>
      <w:szCs w:val="2"/>
    </w:rPr>
  </w:style>
  <w:style w:type="paragraph" w:customStyle="1" w:styleId="layui-layer-btn">
    <w:name w:val="layui-layer-btn"/>
    <w:basedOn w:val="a"/>
    <w:pPr>
      <w:spacing w:before="100" w:beforeAutospacing="1" w:after="100" w:afterAutospacing="1"/>
      <w:jc w:val="right"/>
    </w:pPr>
  </w:style>
  <w:style w:type="paragraph" w:customStyle="1" w:styleId="layui-layer-btn-l">
    <w:name w:val="layui-layer-btn-l"/>
    <w:basedOn w:val="a"/>
    <w:pPr>
      <w:spacing w:before="100" w:beforeAutospacing="1" w:after="100" w:afterAutospacing="1"/>
    </w:pPr>
  </w:style>
  <w:style w:type="paragraph" w:customStyle="1" w:styleId="layui-layer-btn-c">
    <w:name w:val="layui-layer-btn-c"/>
    <w:basedOn w:val="a"/>
    <w:pPr>
      <w:spacing w:before="100" w:beforeAutospacing="1" w:after="100" w:afterAutospacing="1"/>
      <w:jc w:val="center"/>
    </w:pPr>
  </w:style>
  <w:style w:type="paragraph" w:customStyle="1" w:styleId="layui-layer-rim">
    <w:name w:val="layui-layer-rim"/>
    <w:basedOn w:val="a"/>
    <w:pPr>
      <w:pBdr>
        <w:top w:val="single" w:sz="24" w:space="0" w:color="8D8D8D"/>
        <w:left w:val="single" w:sz="24" w:space="0" w:color="8D8D8D"/>
        <w:bottom w:val="single" w:sz="24" w:space="0" w:color="8D8D8D"/>
        <w:right w:val="single" w:sz="24" w:space="0" w:color="8D8D8D"/>
      </w:pBdr>
      <w:spacing w:before="100" w:beforeAutospacing="1" w:after="100" w:afterAutospacing="1"/>
    </w:pPr>
  </w:style>
  <w:style w:type="paragraph" w:customStyle="1" w:styleId="layui-layer-msg">
    <w:name w:val="layui-layer-msg"/>
    <w:basedOn w:val="a"/>
    <w:pPr>
      <w:pBdr>
        <w:top w:val="single" w:sz="4" w:space="0" w:color="D3D4D3"/>
        <w:left w:val="single" w:sz="4" w:space="0" w:color="D3D4D3"/>
        <w:bottom w:val="single" w:sz="4" w:space="0" w:color="D3D4D3"/>
        <w:right w:val="single" w:sz="4" w:space="0" w:color="D3D4D3"/>
      </w:pBdr>
      <w:spacing w:before="100" w:beforeAutospacing="1" w:after="100" w:afterAutospacing="1"/>
    </w:pPr>
  </w:style>
  <w:style w:type="paragraph" w:customStyle="1" w:styleId="layui-layer-hui">
    <w:name w:val="layui-layer-hui"/>
    <w:basedOn w:val="a"/>
    <w:pPr>
      <w:shd w:val="clear" w:color="auto" w:fill="000000"/>
      <w:spacing w:before="100" w:beforeAutospacing="1" w:after="100" w:afterAutospacing="1"/>
    </w:pPr>
    <w:rPr>
      <w:color w:val="FFFFFF"/>
    </w:rPr>
  </w:style>
  <w:style w:type="paragraph" w:customStyle="1" w:styleId="layui-layer-loading">
    <w:name w:val="layui-layer-loading"/>
    <w:basedOn w:val="a"/>
    <w:pPr>
      <w:spacing w:before="100" w:beforeAutospacing="1" w:after="100" w:afterAutospacing="1"/>
    </w:pPr>
  </w:style>
  <w:style w:type="paragraph" w:customStyle="1" w:styleId="layui-layer-ico16">
    <w:name w:val="layui-layer-ico16"/>
    <w:basedOn w:val="a"/>
    <w:pPr>
      <w:spacing w:before="100" w:beforeAutospacing="1" w:after="100" w:afterAutospacing="1"/>
    </w:pPr>
  </w:style>
  <w:style w:type="paragraph" w:customStyle="1" w:styleId="layui-layer-tips">
    <w:name w:val="layui-layer-tips"/>
    <w:basedOn w:val="a"/>
    <w:pPr>
      <w:spacing w:before="100" w:beforeAutospacing="1" w:after="100" w:afterAutospacing="1"/>
    </w:pPr>
  </w:style>
  <w:style w:type="paragraph" w:customStyle="1" w:styleId="layui-layer-iconext">
    <w:name w:val="layui-layer-iconext"/>
    <w:basedOn w:val="a"/>
    <w:pPr>
      <w:spacing w:before="100" w:beforeAutospacing="1" w:after="100" w:afterAutospacing="1"/>
    </w:pPr>
  </w:style>
  <w:style w:type="paragraph" w:customStyle="1" w:styleId="layui-layer-tabmain">
    <w:name w:val="layui-layer-tabmain"/>
    <w:basedOn w:val="a"/>
    <w:pPr>
      <w:spacing w:before="100" w:beforeAutospacing="1" w:after="100" w:afterAutospacing="1" w:line="288" w:lineRule="atLeast"/>
    </w:pPr>
  </w:style>
  <w:style w:type="paragraph" w:customStyle="1" w:styleId="layui-layer-imguide">
    <w:name w:val="layui-layer-imguide"/>
    <w:basedOn w:val="a"/>
    <w:pPr>
      <w:spacing w:before="100" w:beforeAutospacing="1" w:after="100" w:afterAutospacing="1"/>
    </w:pPr>
    <w:rPr>
      <w:vanish/>
    </w:rPr>
  </w:style>
  <w:style w:type="paragraph" w:customStyle="1" w:styleId="layui-layer-imgnext">
    <w:name w:val="layui-layer-imgnext"/>
    <w:basedOn w:val="a"/>
    <w:pPr>
      <w:spacing w:after="100" w:afterAutospacing="1"/>
    </w:pPr>
  </w:style>
  <w:style w:type="paragraph" w:customStyle="1" w:styleId="layui-layer-imgprev">
    <w:name w:val="layui-layer-imgprev"/>
    <w:basedOn w:val="a"/>
    <w:pPr>
      <w:spacing w:after="100" w:afterAutospacing="1"/>
    </w:pPr>
  </w:style>
  <w:style w:type="paragraph" w:customStyle="1" w:styleId="layui-layer-close2">
    <w:name w:val="layui-layer-close2"/>
    <w:basedOn w:val="a"/>
    <w:pPr>
      <w:spacing w:before="100" w:beforeAutospacing="1" w:after="100" w:afterAutospacing="1"/>
    </w:pPr>
  </w:style>
  <w:style w:type="paragraph" w:customStyle="1" w:styleId="layui-layer-btn0">
    <w:name w:val="layui-layer-btn0"/>
    <w:basedOn w:val="a"/>
    <w:pPr>
      <w:spacing w:before="100" w:beforeAutospacing="1" w:after="100" w:afterAutospacing="1"/>
    </w:pPr>
  </w:style>
  <w:style w:type="paragraph" w:customStyle="1" w:styleId="layui-layer-content">
    <w:name w:val="layui-layer-content"/>
    <w:basedOn w:val="a"/>
    <w:pPr>
      <w:spacing w:before="100" w:beforeAutospacing="1" w:after="100" w:afterAutospacing="1"/>
    </w:pPr>
  </w:style>
  <w:style w:type="paragraph" w:customStyle="1" w:styleId="layui-layer-padding">
    <w:name w:val="layui-layer-padding"/>
    <w:basedOn w:val="a"/>
    <w:pPr>
      <w:spacing w:before="100" w:beforeAutospacing="1" w:after="100" w:afterAutospacing="1"/>
    </w:pPr>
  </w:style>
  <w:style w:type="paragraph" w:customStyle="1" w:styleId="layui-layer-loading1">
    <w:name w:val="layui-layer-loading1"/>
    <w:basedOn w:val="a"/>
    <w:pPr>
      <w:spacing w:before="100" w:beforeAutospacing="1" w:after="100" w:afterAutospacing="1"/>
    </w:pPr>
  </w:style>
  <w:style w:type="paragraph" w:customStyle="1" w:styleId="layui-layer-loading2">
    <w:name w:val="layui-layer-loading2"/>
    <w:basedOn w:val="a"/>
    <w:pPr>
      <w:spacing w:before="100" w:beforeAutospacing="1" w:after="100" w:afterAutospacing="1"/>
    </w:pPr>
  </w:style>
  <w:style w:type="paragraph" w:customStyle="1" w:styleId="layui-layer-input">
    <w:name w:val="layui-layer-input"/>
    <w:basedOn w:val="a"/>
    <w:pPr>
      <w:spacing w:before="100" w:beforeAutospacing="1" w:after="100" w:afterAutospacing="1"/>
    </w:pPr>
  </w:style>
  <w:style w:type="paragraph" w:customStyle="1" w:styleId="layui-layer-tabli">
    <w:name w:val="layui-layer-tabli"/>
    <w:basedOn w:val="a"/>
    <w:pPr>
      <w:spacing w:before="100" w:beforeAutospacing="1" w:after="100" w:afterAutospacing="1"/>
    </w:pPr>
  </w:style>
  <w:style w:type="paragraph" w:customStyle="1" w:styleId="layui-layer-btn1">
    <w:name w:val="layui-layer-btn1"/>
    <w:basedOn w:val="a"/>
    <w:pPr>
      <w:spacing w:before="100" w:beforeAutospacing="1" w:after="100" w:afterAutospacing="1"/>
    </w:pPr>
  </w:style>
  <w:style w:type="character" w:customStyle="1" w:styleId="layui-layer-tabnow">
    <w:name w:val="layui-layer-tabnow"/>
    <w:basedOn w:val="a0"/>
  </w:style>
  <w:style w:type="paragraph" w:customStyle="1" w:styleId="layui-layer-ico1">
    <w:name w:val="layui-layer-ico1"/>
    <w:basedOn w:val="a"/>
    <w:pPr>
      <w:spacing w:before="100" w:beforeAutospacing="1" w:after="100" w:afterAutospacing="1"/>
      <w:textAlignment w:val="top"/>
    </w:pPr>
  </w:style>
  <w:style w:type="paragraph" w:customStyle="1" w:styleId="layui-layer-close21">
    <w:name w:val="layui-layer-close21"/>
    <w:basedOn w:val="a"/>
    <w:pPr>
      <w:spacing w:before="100" w:beforeAutospacing="1" w:after="100" w:afterAutospacing="1"/>
    </w:pPr>
  </w:style>
  <w:style w:type="paragraph" w:customStyle="1" w:styleId="layui-layer-btn01">
    <w:name w:val="layui-layer-btn01"/>
    <w:basedOn w:val="a"/>
    <w:pPr>
      <w:shd w:val="clear" w:color="auto" w:fill="2E8DED"/>
      <w:spacing w:before="100" w:beforeAutospacing="1" w:after="100" w:afterAutospacing="1"/>
    </w:pPr>
    <w:rPr>
      <w:color w:val="FFFFFF"/>
    </w:rPr>
  </w:style>
  <w:style w:type="paragraph" w:customStyle="1" w:styleId="layui-layer-content1">
    <w:name w:val="layui-layer-content1"/>
    <w:basedOn w:val="a"/>
    <w:pPr>
      <w:wordWrap w:val="0"/>
      <w:spacing w:before="100" w:beforeAutospacing="1" w:after="100" w:afterAutospacing="1" w:line="288" w:lineRule="atLeast"/>
    </w:pPr>
    <w:rPr>
      <w:sz w:val="17"/>
      <w:szCs w:val="17"/>
    </w:rPr>
  </w:style>
  <w:style w:type="paragraph" w:customStyle="1" w:styleId="layui-layer-ico2">
    <w:name w:val="layui-layer-ico2"/>
    <w:basedOn w:val="a"/>
    <w:pPr>
      <w:spacing w:before="100" w:beforeAutospacing="1" w:after="100" w:afterAutospacing="1"/>
      <w:textAlignment w:val="top"/>
    </w:pPr>
  </w:style>
  <w:style w:type="paragraph" w:customStyle="1" w:styleId="layui-layer-content2">
    <w:name w:val="layui-layer-content2"/>
    <w:basedOn w:val="a"/>
    <w:pPr>
      <w:spacing w:before="100" w:beforeAutospacing="1" w:after="100" w:afterAutospacing="1"/>
      <w:jc w:val="center"/>
    </w:pPr>
  </w:style>
  <w:style w:type="paragraph" w:customStyle="1" w:styleId="layui-layer-padding1">
    <w:name w:val="layui-layer-padding1"/>
    <w:basedOn w:val="a"/>
    <w:pPr>
      <w:spacing w:before="100" w:beforeAutospacing="1" w:after="100" w:afterAutospacing="1"/>
    </w:pPr>
  </w:style>
  <w:style w:type="paragraph" w:customStyle="1" w:styleId="layui-layer-btn2">
    <w:name w:val="layui-layer-btn2"/>
    <w:basedOn w:val="a"/>
    <w:pPr>
      <w:spacing w:before="100" w:beforeAutospacing="1" w:after="100" w:afterAutospacing="1"/>
      <w:jc w:val="right"/>
    </w:pPr>
  </w:style>
  <w:style w:type="paragraph" w:customStyle="1" w:styleId="layui-layer-btn3">
    <w:name w:val="layui-layer-btn3"/>
    <w:basedOn w:val="a"/>
    <w:pPr>
      <w:spacing w:before="100" w:beforeAutospacing="1" w:after="100" w:afterAutospacing="1"/>
      <w:jc w:val="right"/>
    </w:pPr>
  </w:style>
  <w:style w:type="paragraph" w:customStyle="1" w:styleId="layui-layer-content3">
    <w:name w:val="layui-layer-content3"/>
    <w:basedOn w:val="a"/>
    <w:pPr>
      <w:spacing w:before="100" w:beforeAutospacing="1" w:after="100" w:afterAutospacing="1"/>
    </w:pPr>
  </w:style>
  <w:style w:type="paragraph" w:customStyle="1" w:styleId="layui-layer-loading11">
    <w:name w:val="layui-layer-loading11"/>
    <w:basedOn w:val="a"/>
    <w:pPr>
      <w:spacing w:before="100" w:beforeAutospacing="1" w:after="100" w:afterAutospacing="1"/>
    </w:pPr>
  </w:style>
  <w:style w:type="paragraph" w:customStyle="1" w:styleId="layui-layer-loading21">
    <w:name w:val="layui-layer-loading21"/>
    <w:basedOn w:val="a"/>
    <w:pPr>
      <w:spacing w:before="100" w:beforeAutospacing="1" w:after="100" w:afterAutospacing="1"/>
    </w:pPr>
  </w:style>
  <w:style w:type="paragraph" w:customStyle="1" w:styleId="layui-layer-content4">
    <w:name w:val="layui-layer-content4"/>
    <w:basedOn w:val="a"/>
    <w:pPr>
      <w:shd w:val="clear" w:color="auto" w:fill="000000"/>
      <w:spacing w:before="100" w:beforeAutospacing="1" w:after="100" w:afterAutospacing="1" w:line="264" w:lineRule="atLeast"/>
    </w:pPr>
    <w:rPr>
      <w:color w:val="FFFFFF"/>
      <w:sz w:val="14"/>
      <w:szCs w:val="14"/>
    </w:rPr>
  </w:style>
  <w:style w:type="paragraph" w:customStyle="1" w:styleId="layui-layer-title1">
    <w:name w:val="layui-layer-title1"/>
    <w:basedOn w:val="a"/>
    <w:pPr>
      <w:shd w:val="clear" w:color="auto" w:fill="4476A7"/>
      <w:spacing w:before="100" w:beforeAutospacing="1" w:after="100" w:afterAutospacing="1" w:line="504" w:lineRule="atLeast"/>
    </w:pPr>
    <w:rPr>
      <w:color w:val="FFFFFF"/>
      <w:sz w:val="17"/>
      <w:szCs w:val="17"/>
    </w:rPr>
  </w:style>
  <w:style w:type="paragraph" w:customStyle="1" w:styleId="layui-layer-btn4">
    <w:name w:val="layui-layer-btn4"/>
    <w:basedOn w:val="a"/>
    <w:pPr>
      <w:pBdr>
        <w:top w:val="single" w:sz="4" w:space="3" w:color="E9E7E7"/>
      </w:pBdr>
      <w:spacing w:before="100" w:beforeAutospacing="1" w:after="100" w:afterAutospacing="1"/>
      <w:jc w:val="right"/>
    </w:pPr>
  </w:style>
  <w:style w:type="paragraph" w:customStyle="1" w:styleId="layui-layer-btn11">
    <w:name w:val="layui-layer-btn11"/>
    <w:basedOn w:val="a"/>
    <w:pPr>
      <w:shd w:val="clear" w:color="auto" w:fill="C9C5C5"/>
      <w:spacing w:before="100" w:beforeAutospacing="1" w:after="100" w:afterAutospacing="1"/>
    </w:pPr>
  </w:style>
  <w:style w:type="paragraph" w:customStyle="1" w:styleId="layui-layer-title2">
    <w:name w:val="layui-layer-title2"/>
    <w:basedOn w:val="a"/>
    <w:pPr>
      <w:shd w:val="clear" w:color="auto" w:fill="009F95"/>
      <w:spacing w:before="100" w:beforeAutospacing="1" w:after="100" w:afterAutospacing="1" w:line="504" w:lineRule="atLeast"/>
    </w:pPr>
    <w:rPr>
      <w:color w:val="FFFFFF"/>
      <w:sz w:val="17"/>
      <w:szCs w:val="17"/>
    </w:rPr>
  </w:style>
  <w:style w:type="paragraph" w:customStyle="1" w:styleId="layui-layer-btn12">
    <w:name w:val="layui-layer-btn12"/>
    <w:basedOn w:val="a"/>
    <w:pPr>
      <w:shd w:val="clear" w:color="auto" w:fill="92B8B1"/>
      <w:spacing w:before="100" w:beforeAutospacing="1" w:after="100" w:afterAutospacing="1"/>
    </w:pPr>
  </w:style>
  <w:style w:type="paragraph" w:customStyle="1" w:styleId="layui-layer-input1">
    <w:name w:val="layui-layer-input1"/>
    <w:basedOn w:val="a"/>
    <w:pPr>
      <w:pBdr>
        <w:top w:val="single" w:sz="4" w:space="0" w:color="CCCCCC"/>
        <w:left w:val="single" w:sz="4" w:space="3" w:color="CCCCCC"/>
        <w:bottom w:val="single" w:sz="4" w:space="0" w:color="CCCCCC"/>
        <w:right w:val="single" w:sz="4" w:space="3" w:color="CCCCCC"/>
      </w:pBdr>
      <w:spacing w:line="360" w:lineRule="atLeast"/>
    </w:pPr>
    <w:rPr>
      <w:color w:val="333333"/>
    </w:rPr>
  </w:style>
  <w:style w:type="paragraph" w:customStyle="1" w:styleId="layui-layer-content5">
    <w:name w:val="layui-layer-content5"/>
    <w:basedOn w:val="a"/>
    <w:pPr>
      <w:spacing w:before="100" w:beforeAutospacing="1" w:after="100" w:afterAutospacing="1"/>
    </w:pPr>
  </w:style>
  <w:style w:type="paragraph" w:customStyle="1" w:styleId="layui-layer-btn5">
    <w:name w:val="layui-layer-btn5"/>
    <w:basedOn w:val="a"/>
    <w:pPr>
      <w:spacing w:before="100" w:beforeAutospacing="1" w:after="100" w:afterAutospacing="1"/>
      <w:jc w:val="right"/>
    </w:pPr>
  </w:style>
  <w:style w:type="paragraph" w:customStyle="1" w:styleId="layui-layer-title3">
    <w:name w:val="layui-layer-title3"/>
    <w:basedOn w:val="a"/>
    <w:pPr>
      <w:pBdr>
        <w:bottom w:val="single" w:sz="4" w:space="0" w:color="CCCCCC"/>
      </w:pBdr>
      <w:shd w:val="clear" w:color="auto" w:fill="EEEEEE"/>
      <w:spacing w:before="100" w:beforeAutospacing="1" w:after="100" w:afterAutospacing="1" w:line="504" w:lineRule="atLeast"/>
    </w:pPr>
    <w:rPr>
      <w:color w:val="333333"/>
      <w:sz w:val="17"/>
      <w:szCs w:val="17"/>
    </w:rPr>
  </w:style>
  <w:style w:type="character" w:customStyle="1" w:styleId="layui-layer-tabnow1">
    <w:name w:val="layui-layer-tabnow1"/>
    <w:basedOn w:val="a0"/>
    <w:rPr>
      <w:shd w:val="clear" w:color="auto" w:fill="FFFFFF"/>
    </w:rPr>
  </w:style>
  <w:style w:type="paragraph" w:customStyle="1" w:styleId="layui-layer-tabli1">
    <w:name w:val="layui-layer-tabli1"/>
    <w:basedOn w:val="a"/>
    <w:pPr>
      <w:spacing w:before="100" w:beforeAutospacing="1" w:after="100" w:afterAutospacing="1"/>
    </w:pPr>
    <w:rPr>
      <w:vanish/>
    </w:rPr>
  </w:style>
  <w:style w:type="paragraph" w:customStyle="1" w:styleId="layui-layer-content6">
    <w:name w:val="layui-layer-content6"/>
    <w:basedOn w:val="a"/>
    <w:pPr>
      <w:spacing w:before="100" w:beforeAutospacing="1" w:after="100" w:afterAutospacing="1"/>
      <w:jc w:val="center"/>
    </w:pPr>
  </w:style>
</w:styles>
</file>

<file path=word/webSettings.xml><?xml version="1.0" encoding="utf-8"?>
<w:webSettings xmlns:r="http://schemas.openxmlformats.org/officeDocument/2006/relationships" xmlns:w="http://schemas.openxmlformats.org/wordprocessingml/2006/main">
  <w:divs>
    <w:div w:id="322316790">
      <w:marLeft w:val="0"/>
      <w:marRight w:val="0"/>
      <w:marTop w:val="0"/>
      <w:marBottom w:val="0"/>
      <w:divBdr>
        <w:top w:val="none" w:sz="0" w:space="0" w:color="auto"/>
        <w:left w:val="none" w:sz="0" w:space="0" w:color="auto"/>
        <w:bottom w:val="none" w:sz="0" w:space="0" w:color="auto"/>
        <w:right w:val="none" w:sz="0" w:space="0" w:color="auto"/>
      </w:divBdr>
      <w:divsChild>
        <w:div w:id="486098532">
          <w:marLeft w:val="0"/>
          <w:marRight w:val="0"/>
          <w:marTop w:val="0"/>
          <w:marBottom w:val="0"/>
          <w:divBdr>
            <w:top w:val="none" w:sz="0" w:space="0" w:color="auto"/>
            <w:left w:val="none" w:sz="0" w:space="0" w:color="auto"/>
            <w:bottom w:val="none" w:sz="0" w:space="0" w:color="auto"/>
            <w:right w:val="none" w:sz="0" w:space="0" w:color="auto"/>
          </w:divBdr>
          <w:divsChild>
            <w:div w:id="1335493576">
              <w:marLeft w:val="0"/>
              <w:marRight w:val="0"/>
              <w:marTop w:val="0"/>
              <w:marBottom w:val="0"/>
              <w:divBdr>
                <w:top w:val="none" w:sz="0" w:space="0" w:color="auto"/>
                <w:left w:val="none" w:sz="0" w:space="0" w:color="auto"/>
                <w:bottom w:val="none" w:sz="0" w:space="0" w:color="auto"/>
                <w:right w:val="none" w:sz="0" w:space="0" w:color="auto"/>
              </w:divBdr>
              <w:divsChild>
                <w:div w:id="19905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1838">
          <w:marLeft w:val="0"/>
          <w:marRight w:val="0"/>
          <w:marTop w:val="0"/>
          <w:marBottom w:val="0"/>
          <w:divBdr>
            <w:top w:val="none" w:sz="0" w:space="0" w:color="auto"/>
            <w:left w:val="none" w:sz="0" w:space="0" w:color="auto"/>
            <w:bottom w:val="none" w:sz="0" w:space="0" w:color="auto"/>
            <w:right w:val="none" w:sz="0" w:space="0" w:color="auto"/>
          </w:divBdr>
        </w:div>
        <w:div w:id="2138645424">
          <w:marLeft w:val="0"/>
          <w:marRight w:val="0"/>
          <w:marTop w:val="0"/>
          <w:marBottom w:val="0"/>
          <w:divBdr>
            <w:top w:val="none" w:sz="0" w:space="0" w:color="auto"/>
            <w:left w:val="none" w:sz="0" w:space="0" w:color="auto"/>
            <w:bottom w:val="none" w:sz="0" w:space="0" w:color="auto"/>
            <w:right w:val="none" w:sz="0" w:space="0" w:color="auto"/>
          </w:divBdr>
          <w:divsChild>
            <w:div w:id="29188039">
              <w:marLeft w:val="0"/>
              <w:marRight w:val="0"/>
              <w:marTop w:val="0"/>
              <w:marBottom w:val="0"/>
              <w:divBdr>
                <w:top w:val="none" w:sz="0" w:space="0" w:color="auto"/>
                <w:left w:val="none" w:sz="0" w:space="0" w:color="auto"/>
                <w:bottom w:val="none" w:sz="0" w:space="0" w:color="auto"/>
                <w:right w:val="none" w:sz="0" w:space="0" w:color="auto"/>
              </w:divBdr>
              <w:divsChild>
                <w:div w:id="1883708307">
                  <w:marLeft w:val="0"/>
                  <w:marRight w:val="0"/>
                  <w:marTop w:val="0"/>
                  <w:marBottom w:val="0"/>
                  <w:divBdr>
                    <w:top w:val="none" w:sz="0" w:space="0" w:color="auto"/>
                    <w:left w:val="none" w:sz="0" w:space="0" w:color="auto"/>
                    <w:bottom w:val="none" w:sz="0" w:space="0" w:color="auto"/>
                    <w:right w:val="none" w:sz="0" w:space="0" w:color="auto"/>
                  </w:divBdr>
                </w:div>
                <w:div w:id="19909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5901">
          <w:marLeft w:val="0"/>
          <w:marRight w:val="0"/>
          <w:marTop w:val="0"/>
          <w:marBottom w:val="0"/>
          <w:divBdr>
            <w:top w:val="none" w:sz="0" w:space="0" w:color="auto"/>
            <w:left w:val="none" w:sz="0" w:space="0" w:color="auto"/>
            <w:bottom w:val="none" w:sz="0" w:space="0" w:color="auto"/>
            <w:right w:val="none" w:sz="0" w:space="0" w:color="auto"/>
          </w:divBdr>
          <w:divsChild>
            <w:div w:id="920917417">
              <w:marLeft w:val="0"/>
              <w:marRight w:val="0"/>
              <w:marTop w:val="0"/>
              <w:marBottom w:val="0"/>
              <w:divBdr>
                <w:top w:val="none" w:sz="0" w:space="0" w:color="auto"/>
                <w:left w:val="none" w:sz="0" w:space="0" w:color="auto"/>
                <w:bottom w:val="none" w:sz="0" w:space="0" w:color="auto"/>
                <w:right w:val="none" w:sz="0" w:space="0" w:color="auto"/>
              </w:divBdr>
            </w:div>
            <w:div w:id="1079522613">
              <w:marLeft w:val="0"/>
              <w:marRight w:val="0"/>
              <w:marTop w:val="0"/>
              <w:marBottom w:val="0"/>
              <w:divBdr>
                <w:top w:val="none" w:sz="0" w:space="0" w:color="auto"/>
                <w:left w:val="none" w:sz="0" w:space="0" w:color="auto"/>
                <w:bottom w:val="none" w:sz="0" w:space="0" w:color="auto"/>
                <w:right w:val="none" w:sz="0" w:space="0" w:color="auto"/>
              </w:divBdr>
              <w:divsChild>
                <w:div w:id="1378748455">
                  <w:marLeft w:val="0"/>
                  <w:marRight w:val="0"/>
                  <w:marTop w:val="0"/>
                  <w:marBottom w:val="0"/>
                  <w:divBdr>
                    <w:top w:val="none" w:sz="0" w:space="0" w:color="auto"/>
                    <w:left w:val="none" w:sz="0" w:space="0" w:color="auto"/>
                    <w:bottom w:val="none" w:sz="0" w:space="0" w:color="auto"/>
                    <w:right w:val="none" w:sz="0" w:space="0" w:color="auto"/>
                  </w:divBdr>
                  <w:divsChild>
                    <w:div w:id="1923295711">
                      <w:marLeft w:val="0"/>
                      <w:marRight w:val="0"/>
                      <w:marTop w:val="0"/>
                      <w:marBottom w:val="0"/>
                      <w:divBdr>
                        <w:top w:val="none" w:sz="0" w:space="0" w:color="auto"/>
                        <w:left w:val="none" w:sz="0" w:space="0" w:color="auto"/>
                        <w:bottom w:val="none" w:sz="0" w:space="0" w:color="auto"/>
                        <w:right w:val="none" w:sz="0" w:space="0" w:color="auto"/>
                      </w:divBdr>
                    </w:div>
                    <w:div w:id="534852714">
                      <w:marLeft w:val="0"/>
                      <w:marRight w:val="0"/>
                      <w:marTop w:val="0"/>
                      <w:marBottom w:val="0"/>
                      <w:divBdr>
                        <w:top w:val="none" w:sz="0" w:space="0" w:color="auto"/>
                        <w:left w:val="none" w:sz="0" w:space="0" w:color="auto"/>
                        <w:bottom w:val="none" w:sz="0" w:space="0" w:color="auto"/>
                        <w:right w:val="none" w:sz="0" w:space="0" w:color="auto"/>
                      </w:divBdr>
                      <w:divsChild>
                        <w:div w:id="18613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36391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fontZoom(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fontZoom(18)" TargetMode="External"/><Relationship Id="rId5" Type="http://schemas.openxmlformats.org/officeDocument/2006/relationships/hyperlink" Target="javascript:fontZoom(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3631</Characters>
  <Application>Microsoft Office Word</Application>
  <DocSecurity>0</DocSecurity>
  <Lines>30</Lines>
  <Paragraphs>8</Paragraphs>
  <ScaleCrop>false</ScaleCrop>
  <Company>CHINA</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韶关市人民政府-韶关市人民政府关于创新完善中小微企业投融资机制的若干意见（韶府〔2016〕54号）</dc:title>
  <dc:subject/>
  <dc:creator>linfan</dc:creator>
  <cp:keywords/>
  <dc:description/>
  <cp:lastModifiedBy>linfan</cp:lastModifiedBy>
  <cp:revision>2</cp:revision>
  <dcterms:created xsi:type="dcterms:W3CDTF">2018-05-07T15:06:00Z</dcterms:created>
  <dcterms:modified xsi:type="dcterms:W3CDTF">2018-05-07T15:06:00Z</dcterms:modified>
</cp:coreProperties>
</file>