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top"/>
          </w:tcPr>
          <w:p>
            <w:pPr>
              <w:jc w:val="left"/>
              <w:rPr>
                <w:rFonts w:hint="eastAsia" w:ascii="微软雅黑" w:hAnsi="微软雅黑" w:eastAsia="微软雅黑" w:cs="微软雅黑"/>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eastAsia" w:ascii="微软雅黑" w:hAnsi="微软雅黑" w:eastAsia="微软雅黑" w:cs="微软雅黑"/>
                <w:b/>
                <w:i w:val="0"/>
                <w:caps w:val="0"/>
                <w:color w:val="D20000"/>
                <w:spacing w:val="0"/>
                <w:sz w:val="36"/>
                <w:szCs w:val="36"/>
              </w:rPr>
            </w:pPr>
            <w:bookmarkStart w:id="0" w:name="_GoBack"/>
            <w:r>
              <w:rPr>
                <w:rFonts w:hint="eastAsia" w:ascii="微软雅黑" w:hAnsi="微软雅黑" w:eastAsia="微软雅黑" w:cs="微软雅黑"/>
                <w:b/>
                <w:i w:val="0"/>
                <w:caps w:val="0"/>
                <w:color w:val="D20000"/>
                <w:spacing w:val="0"/>
                <w:kern w:val="0"/>
                <w:sz w:val="36"/>
                <w:szCs w:val="36"/>
                <w:bdr w:val="none" w:color="auto" w:sz="0" w:space="0"/>
                <w:lang w:val="en-US" w:eastAsia="zh-CN" w:bidi="ar"/>
              </w:rPr>
              <w:t>关于深入实施商标战略推进自主创新促进铜山经济发展的意见</w:t>
            </w:r>
            <w:bookmarkEnd w:id="0"/>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shd w:val="clear" w:color="auto" w:fill="E4F0F3"/>
                <w:tblLayout w:type="fixed"/>
                <w:tblCellMar>
                  <w:top w:w="0" w:type="dxa"/>
                  <w:left w:w="0" w:type="dxa"/>
                  <w:bottom w:w="0" w:type="dxa"/>
                  <w:right w:w="0" w:type="dxa"/>
                </w:tblCellMar>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24"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6"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25" name="图片 2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7"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26" name="图片 2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8"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i w:val="0"/>
                <w:caps w:val="0"/>
                <w:color w:val="333333"/>
                <w:spacing w:val="0"/>
                <w:kern w:val="0"/>
                <w:sz w:val="21"/>
                <w:szCs w:val="21"/>
                <w:bdr w:val="none" w:color="auto" w:sz="0" w:space="0"/>
                <w:lang w:val="en-US" w:eastAsia="zh-CN" w:bidi="ar"/>
              </w:rPr>
              <w:t>关于深入实施商标战略推进自主创新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21"/>
                <w:szCs w:val="21"/>
                <w:bdr w:val="none" w:color="auto" w:sz="0" w:space="0"/>
                <w:lang w:val="en-US" w:eastAsia="zh-CN" w:bidi="ar"/>
              </w:rPr>
              <w:t>促进铜山经济发展的意见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ascii="仿宋_GB2312" w:hAnsi="Times New Roman" w:eastAsia="仿宋_GB2312" w:cs="仿宋_GB2312"/>
                <w:i w:val="0"/>
                <w:caps w:val="0"/>
                <w:color w:val="333333"/>
                <w:spacing w:val="6"/>
                <w:kern w:val="0"/>
                <w:sz w:val="21"/>
                <w:szCs w:val="21"/>
                <w:bdr w:val="none" w:color="auto" w:sz="0" w:space="0"/>
                <w:lang w:val="en-US" w:eastAsia="zh-CN" w:bidi="ar"/>
              </w:rPr>
              <w:t>各镇（场）人民政府、街道办事处，徐州高新区管委会、</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吕梁风景区管理处，区各有关单位：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商标战略是以商标创造、运用、保护和管理为主要环节的经济发展和企业经营战略，是国家知识产权战略的重要组成部分，是发展品牌经济的核心和关键。为充分发挥商标战略在促进我区经济社会发展中的作用，增强我区商标创造、运用、保护和管理能力，有效提升企业自主创新能力和核心竞争力，不断拓展企业商标知名度和美誉度，进一步推动创新型城市建设，实现经济结构优化调整和发展方式科学转变，结合我区实际，制定本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ascii="黑体" w:hAnsi="宋体" w:eastAsia="黑体" w:cs="黑体"/>
                <w:i w:val="0"/>
                <w:caps w:val="0"/>
                <w:color w:val="333333"/>
                <w:spacing w:val="0"/>
                <w:kern w:val="0"/>
                <w:sz w:val="21"/>
                <w:szCs w:val="21"/>
                <w:bdr w:val="none" w:color="auto" w:sz="0" w:space="0"/>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以邓小平理论和</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三个代表</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重要思想为指导，深入贯彻落实科学发展观，围绕全面提升我区企业自主创新能力和核心竞争力，进一步建立健全</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企业主体、市场导向、政府推动、社会支持</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的商标发展机制，以完善商标注册发展、推广运用和管理保护体系为重点，大力营造商标发展与保护良好的法制环境、市场环境、文化环境，有效促进产业结构调整，加快发展方式转变，为推进铜山经济的跨越发展提供强有力的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kern w:val="0"/>
                <w:sz w:val="21"/>
                <w:szCs w:val="21"/>
                <w:bdr w:val="none" w:color="auto" w:sz="0" w:space="0"/>
                <w:lang w:val="en-US" w:eastAsia="zh-CN" w:bidi="ar"/>
              </w:rPr>
              <w:t>二、发展目标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ascii="楷体_GB2312" w:hAnsi="Times New Roman" w:eastAsia="楷体_GB2312" w:cs="楷体_GB2312"/>
                <w:i w:val="0"/>
                <w:caps w:val="0"/>
                <w:color w:val="333333"/>
                <w:spacing w:val="0"/>
                <w:kern w:val="0"/>
                <w:sz w:val="21"/>
                <w:szCs w:val="21"/>
                <w:bdr w:val="none" w:color="auto" w:sz="0" w:space="0"/>
                <w:lang w:val="en-US" w:eastAsia="zh-CN" w:bidi="ar"/>
              </w:rPr>
              <w:t>（一）总体目标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到</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2015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年，把我区建设成为苏北及至淮海经济区商标注册、管理、运用和保护制度完善、效果明显的先进区域。立牌创牌意识深入人心，商标保护制度更加完善，企业自主创新能力显著增强，商标在促进智力成果实现市场价值以及保证产品和服务质量方面的功能得到充分体现，在国内外具有较强竞争力的自主品牌大量涌现，创新型城区建设得到有力支撑和推动，商标战略对经济发展、文化繁荣和社会建设的促进作用充分显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（二）具体目标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、企业自主商标拥有量大幅攀升，形成一批高知名度商标群体。到</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2015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年，全区新增国内注册商标</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1050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件，驰名商标总数达到</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件，著名商标达到</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22</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件，知名商标达到</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60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件；境外注册商标总数达到</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件；我区注册（培育）有原产地地理标志特征的农副产品</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证明商标</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或</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集体商标</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件；装备制造、食品及农副产品加工、商贸物流旅游等产业各培育</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件在国内同行业有较高知名度的品牌，培育</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件有一定知名度的农产品品牌。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商标战略运用效果显著增强，形成一批具有较强核心竞争力的品牌商标企业。企业运用商标战略发展品牌经济的氛围初步形成，企业管理和运用商标的能力明显增强，全区驰名商标和著名商标企业销售收入、利润、税收占规模以上工业企业销售收入、利润、税收的比重均达到１</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商标管理和运用意识普遍提高，商标保护环境进一步优化。市场主体商标意识明显增强，尊重和保护商标知识产权的社会氛围初步形成。商标意识深入人心，自觉抵制假货的健康消费理念进一步增强。我区和行业组织分别制定本地区、本行业商标战略实施意见，有计划推动商标管理各项工作。商标行政执法与司法保护有效衔接，对商标侵权行为的打击力度明显加大，商标侵权行为得到有效遏制，滥用商标侵权现象明显减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三</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工作重点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１、深入开展商标知识宣教。各镇、各有关部门要通过报刊、电视、广播、互联网、手机短信等多种渠道，大力宣传商标和商标战略知识，宣传实施商标战略的成功经验，努力增强广大企业和社会公众的商标意识，积极营造关心商标、爱护商标、支持商标发展的社会氛围，形成浓厚的尊重和保护商标的社会环境、文化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积极推进商标注册。各镇政府要采取行政指导和政策激励相结合的方式推动各类商标注册，并将目标任务分解落实到各村（社区），重点加强对农业企业、定牌加工企业和新兴产业、高科技产业、现代服务业、老字号等企业商标注册的引导与服务。要积极引导企业牢固树立</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营销未启、商标先行</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的理念，树立依法确权、超前确权的商标意识。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继续加大商标培育力度。要以商标为纽带，大力整合企业的技术、管理、文化、营销和创新等优势，提升企业商标的知名度和美誉度，丰富商标内涵，增加商标附加值，提高企业核心竞争力。积极支持企业开展自主研发和实施</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产、学、研</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相结合，持续推进自身技术创新。要积极扶持创意水平高、市场运作能力强的龙头广告企业主动对接企业实施商标战略，集中进行群体性、专题特色性广告宣传，通过强化商标文化形象的策划与传播，打造特色企业文化，提升企业商标的知名度和美誉度。加强全区产业集群品牌培育基地建设，充分发挥基地产业集群和品牌孵化的作用，提升主导产业和地区经济的竞争力和发展力，努力把产业集群品牌培育基地建设成我区商标战略实施的集中区和示范区。加快建立完善企业信用体系，深入持久开展</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重合同、守信用</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活动，提升企业信用自律水平和防范信用风险的能力，提升和维护企业商标的市场美誉度。充分发挥商标在凝聚产品质量、经营管理、市场营销、企业信用和技术创新等综合竞争能力中的载体作用，充分发挥农产品商标和地理标志在统筹城乡发展、促进区域经济发展中的推动作用，深入开展商标富农工作，加强对农民、农村经济组织和涉农企业的商标法规宣传，积极引导农产品商标以及地理标志证明商标、集体商标的注册，提高农产品附加值，增强市场竞争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４、充分发挥企业主体作用。企业要树立强烈的自主品牌意识，全面提升商标注册、运用、管理和保护的能力和水平；要设立专门的知识产权管理机构，或配备专门的知识产权管理人员，建立健全包括商标在内的知识产权管理机制。根据自身的发展需要，有针对性地制定商标战略。工业企业要以创新为抓手，加快产业转型，培育自主品牌。农林企业要积极申请产品和服务商标注册以及地理标志注册，大力推行</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公司</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商标（地理标志）</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农户</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产业化经营模式，充分发挥农林产品商标和地理标志在农林业现代化、产业化、规模化中的作用，提高产品附加值，实现自身的快速发展，促进区域经济发展。服务业企业和传统老字号企业要积极发展品牌连锁经营，加快推进集团化、品牌化和规模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有效拓展商标开发利用。引导企业充分利用商标无形资产价值在运用中增值、在增值中运用的增长规律，支持企业以商标为纽带，通过投资入股、许可使用（如授权贴牌、品牌连锁）、质押融资等方式，实现商标价值的转化、利用和提升。推进闲置商标资源的盘活利用，积极运用现代网络技术，重点建设面向国内外的闲置商标展示交易平台，采取</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政府搭台、市场运作、中介牵线、企业唱戏</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的方式，对具有使用价值的闲置商标组织举办交易活动，推进闲置商标许可和转让，提高商标资源的使用率。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6</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、加快实施</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走出去</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战略。引导、鼓励企业提高对外开放水平，积极参与国际竞争。支持、帮助企业在国际贸易中使用自主商标，进行商标国际注册，提高自主商标商品出口比例。鼓励企业积极应对海外商标纠纷，建立健全海外维权投诉和救助渠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7</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全面加强商标专用权保护。完善举报制度，简化举报程序，方便商标权利人投诉。推行商标侵权行政查处案件限期审结制、错案责任追究制，提高执法效率和质量。加大行政执法和司法保护力度，严厉打击商标侵权行为。有计划、有重点地开展专项执法行动，对商标侵权案件高发的重点行业、领域和地区，开展集中整治，对恶意侵权、重复侵权以及情节严重、影响恶劣的案件加大曝光和惩处力度，涉嫌犯罪的及时移送司法机关处理。加大对驰名商标、省著名商标、市知名商标的保护力度，依法保护其合法权益。构建区域内、外打假维权机制，依托</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华东六省一市</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淮海经济区</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和</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长三角</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商标保护协作网等平台，加快探索建立企业海外商标维权投诉协调机制，为自主品牌开拓省内外、国内外市场提供有力支持。进一步丰富重点商标保护名录，结合实际挑选</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1-2</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家企业，开展重点商标保护工作，切实维护商标权利人的合法利益。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8</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健全实施商标战略的服务体系。发展商标中介服务机构，支持商标代理、交易、咨询、评估、法律服务等服务机构发展。建立健全商标代理行业自律制度，制订商标代理行业自律规范，推动商标中介服务机构经营方式和管理机制建设，完善服务功能，培育服务品牌，开展专业化、特色化经营。规范商标中介服务执业行为，建立商标代理组织、代理人信用记录、信用等级评价和失信惩戒等监管制度，取缔非法代理，发挥商标中介服务在商标运用和管理中的保障促进作用。支持开展商标代理行业国际合作与交流，提升商标代理人办理涉外商标申请和处理涉外商标纠纷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9</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强化区域商标无形资产管理。各镇、各部门及企业要进一步加强对商标无形资产的管理工作，对涉及国家利益并具有重要商标无形资产的企业并购、改制、合资、破产等活动，实施商标无形资产评估，避免商标无形资产流失和危害国家经济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kern w:val="0"/>
                <w:sz w:val="21"/>
                <w:szCs w:val="21"/>
                <w:bdr w:val="none" w:color="auto" w:sz="0" w:space="0"/>
                <w:lang w:val="en-US" w:eastAsia="zh-CN" w:bidi="ar"/>
              </w:rPr>
              <w:t>三、保障措施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（一）加强组织领导。</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各镇（场）、办事处、高新区要把深化商标战略实施、推进自主创新，作为转变经济发展方式、促进铜山又好又快发展的战略性举措，切实加强领导，结合实际统筹规划商标战略实施工作。要建立商标战略实施工作领导小组，由政府分管领导担任组长，相关部门负责同志担任领导小组成员。要研究制定深化商标战略的具体措施，指导、督促、检查有关政策落实情况，协商解决商标战略实施过程中的重大问题。要加强对商标培育发展工作的投入力度，区、镇财政每年拨付专项工作经费用于商标培育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（二）推动区域经济发展</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认真做好商标战略与产业政策、区域政策、科技政策、贸易政策的有效衔接，重点在我区资源优势明显的地区、乡镇，优势比较突出的产业和技术领先的商品中培育高知名度商标，充分发挥商标促进支柱产业振兴、传统优势产业提升和战略性新兴产业发展中的作用。要有计划、分步骤地推进示范单位建设，并建立试点追踪调查机制，促进商标战略实施。大力支持各地针对区域经济发展特点，制定和实施地区和行业商标战略，完善商标扶持政策，推进自主创新和自主商标培育工作，促进区域经济协调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（三）</w:t>
            </w: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完善商标发展激励机制</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。对被认定为驰名商标和著名商标及经核准注册的地理标志集体、证明商标的商标权主体，区政府按照有关规定给予一次性奖励。对新获得中国驰名商标的企业，政府奖励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60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万元；对新获得江苏省著名商标的企业，政府奖励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万元；对新获得徐州市知名商标的企业，政府奖励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万元；对新注册地理标志证明商标的，每一件政府奖励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万元。对新注册区级以上农产品商标的，每一件政府奖励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0.1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万元。支持金融机构开展注册商标权质押贷款业务，鼓励和引导各类金融机构、风险投资、创业投资基金及社会资金加大对商标信息开发利用、商标服务的投入力度。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（四）加强商标人才建设</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对商标行政管理人员进行轮训，切实提高监管水平和服务意识。对企业注册登记人员进行商标培训，减少企业名称权与商标权的冲突。保持商标管理人员的相对稳定。加强对商标中介组织的指导和监督，组织商标代理人参加业务培训，提高代理人的服务水平。对我区主要行业协会的骨干企业开展商标法律知识的普及和培训，在企业中建立健全商标管理制度，形成企业、社会和政府相互促进、齐抓共管商标保护的局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附件：铜山区实施商标战略目标任务分配表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                 </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二○一二年四月十二日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tLeast"/>
              <w:ind w:left="0" w:right="0"/>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caps w:val="0"/>
                <w:color w:val="333333"/>
                <w:spacing w:val="0"/>
                <w:kern w:val="0"/>
                <w:sz w:val="21"/>
                <w:szCs w:val="21"/>
                <w:bdr w:val="none" w:color="auto" w:sz="0" w:space="0"/>
                <w:lang w:val="en-US" w:eastAsia="zh-CN" w:bidi="ar"/>
              </w:rPr>
              <w:t>铜山区实施商标战略目标任务分解表</w:t>
            </w:r>
          </w:p>
          <w:tbl>
            <w:tblPr>
              <w:tblW w:w="10047" w:type="dxa"/>
              <w:tblInd w:w="-1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23"/>
              <w:gridCol w:w="1046"/>
              <w:gridCol w:w="942"/>
              <w:gridCol w:w="942"/>
              <w:gridCol w:w="942"/>
              <w:gridCol w:w="942"/>
              <w:gridCol w:w="942"/>
              <w:gridCol w:w="942"/>
              <w:gridCol w:w="942"/>
              <w:gridCol w:w="942"/>
              <w:gridCol w:w="94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65" w:hRule="atLeast"/>
                <w:tblHeader/>
              </w:trPr>
              <w:tc>
                <w:tcPr>
                  <w:tcW w:w="52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序号</w:t>
                  </w:r>
                </w:p>
              </w:tc>
              <w:tc>
                <w:tcPr>
                  <w:tcW w:w="1046" w:type="dxa"/>
                  <w:vMerge w:val="restart"/>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指标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20"/>
                    <w:jc w:val="both"/>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单位</w:t>
                  </w:r>
                </w:p>
              </w:tc>
              <w:tc>
                <w:tcPr>
                  <w:tcW w:w="94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新增国内注册商标数</w:t>
                  </w:r>
                </w:p>
              </w:tc>
              <w:tc>
                <w:tcPr>
                  <w:tcW w:w="1884" w:type="dxa"/>
                  <w:gridSpan w:val="2"/>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驰名商标数</w:t>
                  </w:r>
                </w:p>
              </w:tc>
              <w:tc>
                <w:tcPr>
                  <w:tcW w:w="1884" w:type="dxa"/>
                  <w:gridSpan w:val="2"/>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著名商标数</w:t>
                  </w:r>
                </w:p>
              </w:tc>
              <w:tc>
                <w:tcPr>
                  <w:tcW w:w="1884" w:type="dxa"/>
                  <w:gridSpan w:val="2"/>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知名商标数</w:t>
                  </w:r>
                </w:p>
              </w:tc>
              <w:tc>
                <w:tcPr>
                  <w:tcW w:w="94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新增地理标志注册数</w:t>
                  </w:r>
                </w:p>
              </w:tc>
              <w:tc>
                <w:tcPr>
                  <w:tcW w:w="94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新增境外商标注册数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50" w:hRule="atLeast"/>
                <w:tblHeader/>
              </w:trPr>
              <w:tc>
                <w:tcPr>
                  <w:tcW w:w="52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1046" w:type="dxa"/>
                  <w:vMerge w:val="continue"/>
                  <w:tcBorders>
                    <w:top w:val="single" w:color="auto" w:sz="8" w:space="0"/>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年底</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年底培育数</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年底申报数</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年底培育数</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年底申报数</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年底培育数</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年底申报数</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年底</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年底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黄集镇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张集镇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24</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3</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郑集镇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16</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4</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单集镇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10</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5</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柳新镇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33</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6</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茅村镇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16</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7</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房村镇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8</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大许镇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13</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9</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马坡镇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23</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10</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何桥镇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8</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11</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刘集镇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15</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12</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大彭镇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18</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13</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三堡镇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27</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14</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汉王镇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15</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利国镇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16</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柳泉镇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13</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17</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徐庄镇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9</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18</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伊庄镇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6</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19</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棠张镇</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19</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20</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沿湖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农场</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3</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21</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拾屯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办事处</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22</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张集矿办事处</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23</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lang w:val="en-US" w:eastAsia="zh-CN" w:bidi="ar"/>
                    </w:rPr>
                    <w:t>垞</w:t>
                  </w:r>
                  <w:r>
                    <w:rPr>
                      <w:rFonts w:hint="default" w:ascii="仿宋_GB2312" w:hAnsi="Times New Roman" w:eastAsia="仿宋_GB2312" w:cs="仿宋_GB2312"/>
                      <w:kern w:val="0"/>
                      <w:sz w:val="21"/>
                      <w:szCs w:val="21"/>
                      <w:bdr w:val="none" w:color="auto" w:sz="0" w:space="0"/>
                      <w:lang w:val="en-US" w:eastAsia="zh-CN" w:bidi="ar"/>
                    </w:rPr>
                    <w:t>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办事处</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24</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张双楼办事处</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25</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义安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办事处</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26</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三河尖矿办事处</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27</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电厂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办事处</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28</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利国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办事处</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trPr>
              <w:tc>
                <w:tcPr>
                  <w:tcW w:w="52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29</w:t>
                  </w:r>
                </w:p>
              </w:tc>
              <w:tc>
                <w:tcPr>
                  <w:tcW w:w="104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高新区</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135</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3</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10</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4</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12</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9</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24" w:hRule="atLeast"/>
              </w:trPr>
              <w:tc>
                <w:tcPr>
                  <w:tcW w:w="1569" w:type="dxa"/>
                  <w:gridSpan w:val="2"/>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kern w:val="0"/>
                      <w:sz w:val="21"/>
                      <w:szCs w:val="21"/>
                      <w:bdr w:val="none" w:color="auto" w:sz="0" w:space="0"/>
                      <w:lang w:val="en-US" w:eastAsia="zh-CN" w:bidi="ar"/>
                    </w:rPr>
                    <w:t>合计</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460</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7</w:t>
                  </w:r>
                </w:p>
              </w:tc>
              <w:tc>
                <w:tcPr>
                  <w:tcW w:w="942" w:type="dxa"/>
                  <w:tcBorders>
                    <w:top w:val="nil"/>
                    <w:left w:val="nil"/>
                    <w:bottom w:val="single" w:color="auto" w:sz="8" w:space="0"/>
                    <w:right w:val="single" w:color="auto" w:sz="8" w:space="0"/>
                  </w:tcBorders>
                  <w:shd w:val="clear"/>
                  <w:vAlign w:val="center"/>
                </w:tcPr>
                <w:p>
                  <w:pPr>
                    <w:rPr>
                      <w:rFonts w:hint="default" w:ascii="Times New Roman" w:hAnsi="Times New Roman" w:cs="Times New Roman"/>
                      <w:sz w:val="18"/>
                      <w:szCs w:val="18"/>
                    </w:rPr>
                  </w:pP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31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5</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33</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21</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3</w:t>
                  </w:r>
                </w:p>
              </w:tc>
              <w:tc>
                <w:tcPr>
                  <w:tcW w:w="9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eastAsiaTheme="minorEastAsia"/>
                      <w:kern w:val="0"/>
                      <w:sz w:val="21"/>
                      <w:szCs w:val="21"/>
                      <w:bdr w:val="none" w:color="auto" w:sz="0" w:space="0"/>
                      <w:lang w:val="en-US" w:eastAsia="zh-CN" w:bidi="ar"/>
                    </w:rPr>
                    <w:t>8</w:t>
                  </w:r>
                </w:p>
              </w:tc>
            </w:tr>
          </w:tbl>
          <w:p>
            <w:pPr>
              <w:jc w:val="left"/>
              <w:rPr>
                <w:rFonts w:hint="eastAsia" w:ascii="微软雅黑" w:hAnsi="微软雅黑" w:eastAsia="微软雅黑" w:cs="微软雅黑"/>
                <w:i w:val="0"/>
                <w:caps w:val="0"/>
                <w:color w:val="333333"/>
                <w:spacing w:val="0"/>
                <w:sz w:val="18"/>
                <w:szCs w:val="18"/>
              </w:rPr>
            </w:pPr>
          </w:p>
        </w:tc>
      </w:tr>
    </w:tbl>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1E56"/>
    <w:rsid w:val="06D64E9B"/>
    <w:rsid w:val="172210CB"/>
    <w:rsid w:val="1AB556CB"/>
    <w:rsid w:val="285D5FA1"/>
    <w:rsid w:val="28953A2E"/>
    <w:rsid w:val="2D211E56"/>
    <w:rsid w:val="3F945842"/>
    <w:rsid w:val="47BF715E"/>
    <w:rsid w:val="4F64657A"/>
    <w:rsid w:val="533D3F67"/>
    <w:rsid w:val="58381927"/>
    <w:rsid w:val="58640A49"/>
    <w:rsid w:val="5DC7607A"/>
    <w:rsid w:val="5DEE6842"/>
    <w:rsid w:val="5E873994"/>
    <w:rsid w:val="6C846DD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2018-06-08T02:02:00Z</dcterms:created>
  <dc:creator>栾晓琴</dc:creator>
  <cp:lastModifiedBy>栾晓琴</cp:lastModifiedBy>
  <dcterms:modified xsi:type="dcterms:W3CDTF">2018-06-08T07:31:53Z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