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62" w:rsidRPr="008F1D62" w:rsidRDefault="008F1D62" w:rsidP="008F1D62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333333"/>
          <w:spacing w:val="15"/>
          <w:kern w:val="36"/>
          <w:sz w:val="39"/>
          <w:szCs w:val="39"/>
        </w:rPr>
      </w:pPr>
      <w:bookmarkStart w:id="0" w:name="_GoBack"/>
      <w:r w:rsidRPr="008F1D62">
        <w:rPr>
          <w:rFonts w:ascii="宋体" w:eastAsia="宋体" w:hAnsi="宋体" w:cs="宋体" w:hint="eastAsia"/>
          <w:b/>
          <w:bCs/>
          <w:color w:val="333333"/>
          <w:spacing w:val="15"/>
          <w:kern w:val="36"/>
          <w:sz w:val="39"/>
          <w:szCs w:val="39"/>
        </w:rPr>
        <w:t>关于修订物流企业和证券企业财政奖励政策的通知</w:t>
      </w:r>
    </w:p>
    <w:bookmarkEnd w:id="0"/>
    <w:p w:rsidR="008F1D62" w:rsidRDefault="008F1D62" w:rsidP="008F1D62">
      <w:pPr>
        <w:widowControl/>
        <w:shd w:val="clear" w:color="auto" w:fill="FFFFFF"/>
        <w:wordWrap w:val="0"/>
        <w:spacing w:line="56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各乡（镇）人民政府，县政府各部门、直属及驻县各单位：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为鼓励县外企业、其他经济组织或个人（以下简称客商）在安远县投资创业，进一步推进物流产业及证券产业的发展，根据国家财税体制改革和《安远县鼓励客商投资优惠办法的通知》（安府字〔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2014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14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号）精神，结合我县经济发展实际，经县政府研究，现对物流企业和引入外县证券企业财政奖励政策进行修订和完善。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一、关于物流企业纳税奖励政策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（一）营运税收奖励政策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根据物流企业经营所缴纳的营运税收（含增值税、城建税、企业所得税、印花税）地方财政实得部分（纳税总额减上划中央、省级和市级收入，下同）每月按一定比例给予企业奖励：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1. 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年纳营运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税收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万元以下（不含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万）的，按地方财政实得部分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75%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的比例奖励。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2. 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年纳营运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税收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万元（含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万）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—700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万元（不含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万）的，按地方财政实得部分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85%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的比例奖励。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3. 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年纳营运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税收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万元（含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万）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—1000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万元（不含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万）的，按地方财政实得部分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90%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的比例奖励。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4. 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年纳营运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税收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万元以上（含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万）的，按地方财政实得部分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95%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的比例奖励。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物流企业自有车辆在我县缴纳的车船使用税，纳税次月按地方财政实得部分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80%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一次性奖励；物流企业引进外地车辆，在我县缴纳的车船使用税，纳税次月按地方财政实得部分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75%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一次性奖励。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对纳税额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万元以上（含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万元）的，实行一事一议。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二、关于引入县外证券企业纳税奖励政策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（一）支持和鼓励证券公司在我县开设经营部，按其经营期间缴纳税收地方财政实得部分一定比例予以奖励。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（二）证券公司经营部代扣代缴上市公司及证券公司托管的个人股东的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解禁股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在其营业部进行交易所缴纳的个人所得税，按县财政实得部分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90%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（含纳税额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的代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征代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扣手续费）予以奖励。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（三）证券公司经营部在县域范围内经营缴纳的增值税、企业所得税及其他税收，按县财政实得部分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90%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予以奖励。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（四）对纳税额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万元以上（含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2000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万元）的，实行一事一议。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三、奖励政策实施日期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上述财政奖励政策从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2017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日起施行，如</w:t>
      </w:r>
      <w:proofErr w:type="gramStart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遇政策</w:t>
      </w:r>
      <w:proofErr w:type="gramEnd"/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调整，县政府将适时终止奖励政策。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64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64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64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8F1D62" w:rsidRPr="008F1D62" w:rsidRDefault="008F1D62" w:rsidP="008F1D62">
      <w:pPr>
        <w:widowControl/>
        <w:shd w:val="clear" w:color="auto" w:fill="FFFFFF"/>
        <w:wordWrap w:val="0"/>
        <w:spacing w:line="560" w:lineRule="atLeast"/>
        <w:ind w:firstLine="512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2017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8F1D6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</w:t>
      </w:r>
      <w:r w:rsidRPr="008F1D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045689" w:rsidRDefault="00045689"/>
    <w:sectPr w:rsidR="0004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62"/>
    <w:rsid w:val="00045689"/>
    <w:rsid w:val="008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565F-8ECF-4D06-B168-02D3344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F1D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1D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F1D62"/>
  </w:style>
  <w:style w:type="character" w:styleId="a3">
    <w:name w:val="Hyperlink"/>
    <w:basedOn w:val="a0"/>
    <w:uiPriority w:val="99"/>
    <w:semiHidden/>
    <w:unhideWhenUsed/>
    <w:rsid w:val="008F1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903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2018-05-16T03:19:00Z</dcterms:created>
  <dcterms:modified xsi:type="dcterms:W3CDTF">2018-05-16T03:19:00Z</dcterms:modified>
</cp:coreProperties>
</file>