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432C4" w14:textId="77777777" w:rsidR="00CC670F" w:rsidRPr="00CC670F" w:rsidRDefault="00CC670F" w:rsidP="00CC670F">
      <w:pPr>
        <w:widowControl/>
        <w:spacing w:line="750" w:lineRule="atLeast"/>
        <w:jc w:val="center"/>
        <w:rPr>
          <w:rFonts w:ascii="Microsoft YaHei" w:eastAsia="Microsoft YaHei" w:hAnsi="Microsoft YaHei" w:cs="Times New Roman"/>
          <w:b/>
          <w:bCs/>
          <w:color w:val="FF0000"/>
          <w:kern w:val="0"/>
          <w:sz w:val="39"/>
          <w:szCs w:val="39"/>
        </w:rPr>
      </w:pPr>
      <w:r w:rsidRPr="00CC670F">
        <w:rPr>
          <w:rFonts w:ascii="Microsoft YaHei" w:eastAsia="Microsoft YaHei" w:hAnsi="Microsoft YaHei" w:cs="Times New Roman" w:hint="eastAsia"/>
          <w:b/>
          <w:bCs/>
          <w:color w:val="FF0000"/>
          <w:kern w:val="0"/>
          <w:sz w:val="39"/>
          <w:szCs w:val="39"/>
        </w:rPr>
        <w:t>石狮市人民政府</w:t>
      </w:r>
      <w:bookmarkStart w:id="0" w:name="_GoBack"/>
      <w:r w:rsidRPr="00CC670F">
        <w:rPr>
          <w:rFonts w:ascii="Microsoft YaHei" w:eastAsia="Microsoft YaHei" w:hAnsi="Microsoft YaHei" w:cs="Times New Roman" w:hint="eastAsia"/>
          <w:b/>
          <w:bCs/>
          <w:color w:val="FF0000"/>
          <w:kern w:val="0"/>
          <w:sz w:val="39"/>
          <w:szCs w:val="39"/>
        </w:rPr>
        <w:t>关于降低实体经济企业成本的实施意见</w:t>
      </w:r>
      <w:bookmarkEnd w:id="0"/>
    </w:p>
    <w:p w14:paraId="25DC8D9A" w14:textId="77777777" w:rsidR="00CC670F" w:rsidRPr="00CC670F" w:rsidRDefault="00CC670F" w:rsidP="00CC670F">
      <w:pPr>
        <w:widowControl/>
        <w:spacing w:line="510" w:lineRule="atLeast"/>
        <w:jc w:val="center"/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</w:pPr>
      <w:r w:rsidRPr="00CC670F"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  <w:t>日期：2017-11-09 字号： </w:t>
      </w:r>
      <w:hyperlink r:id="rId4" w:history="1">
        <w:r w:rsidRPr="00CC670F">
          <w:rPr>
            <w:rFonts w:ascii="Microsoft YaHei" w:eastAsia="Microsoft YaHei" w:hAnsi="Microsoft YaHei" w:cs="Times New Roman" w:hint="eastAsia"/>
            <w:color w:val="555555"/>
            <w:kern w:val="0"/>
            <w:sz w:val="21"/>
            <w:szCs w:val="21"/>
          </w:rPr>
          <w:t>大</w:t>
        </w:r>
      </w:hyperlink>
      <w:r w:rsidRPr="00CC670F"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  <w:t> </w:t>
      </w:r>
      <w:hyperlink r:id="rId5" w:history="1">
        <w:r w:rsidRPr="00CC670F">
          <w:rPr>
            <w:rFonts w:ascii="Microsoft YaHei" w:eastAsia="Microsoft YaHei" w:hAnsi="Microsoft YaHei" w:cs="Times New Roman" w:hint="eastAsia"/>
            <w:color w:val="003B81"/>
            <w:kern w:val="0"/>
            <w:sz w:val="21"/>
            <w:szCs w:val="21"/>
          </w:rPr>
          <w:t>中</w:t>
        </w:r>
      </w:hyperlink>
      <w:r w:rsidRPr="00CC670F">
        <w:rPr>
          <w:rFonts w:ascii="Microsoft YaHei" w:eastAsia="Microsoft YaHei" w:hAnsi="Microsoft YaHei" w:cs="Times New Roman" w:hint="eastAsia"/>
          <w:color w:val="999999"/>
          <w:kern w:val="0"/>
          <w:sz w:val="21"/>
          <w:szCs w:val="21"/>
        </w:rPr>
        <w:t> </w:t>
      </w:r>
      <w:hyperlink r:id="rId6" w:history="1">
        <w:r w:rsidRPr="00CC670F">
          <w:rPr>
            <w:rFonts w:ascii="Microsoft YaHei" w:eastAsia="Microsoft YaHei" w:hAnsi="Microsoft YaHei" w:cs="Times New Roman" w:hint="eastAsia"/>
            <w:color w:val="555555"/>
            <w:kern w:val="0"/>
            <w:sz w:val="21"/>
            <w:szCs w:val="21"/>
          </w:rPr>
          <w:t>小</w:t>
        </w:r>
      </w:hyperlink>
    </w:p>
    <w:p w14:paraId="1931254A" w14:textId="77777777" w:rsidR="00CC670F" w:rsidRPr="00CC670F" w:rsidRDefault="00CC670F" w:rsidP="00CC670F">
      <w:pPr>
        <w:widowControl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bookmarkStart w:id="1" w:name="【主送单位】"/>
      <w:r w:rsidRPr="00CC670F">
        <w:rPr>
          <w:rFonts w:ascii="仿宋_GB2312" w:eastAsia="仿宋_GB2312" w:hAnsi="Microsoft YaHei" w:cs="Times New Roman" w:hint="eastAsia"/>
          <w:color w:val="555555"/>
          <w:kern w:val="0"/>
          <w:sz w:val="32"/>
          <w:szCs w:val="32"/>
        </w:rPr>
        <w:t>各镇人民政府、街道办事处，</w:t>
      </w:r>
      <w:bookmarkEnd w:id="1"/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石狮高新技术产业开发区管委会，市直有关单位，上级驻石有关单位：</w:t>
      </w:r>
    </w:p>
    <w:p w14:paraId="0D704148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为深入推进供给侧结构性改革，切实降低实体经济企业成本，进一步优化发展环境，加快企业质效提升，根据中央、省、泉州市有关部署要求，结合我市实际，现提出我市降低实体经济企业成本实施意见如下：</w:t>
      </w:r>
    </w:p>
    <w:p w14:paraId="26851FE1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一、合理降低企业税费负担</w:t>
      </w:r>
    </w:p>
    <w:p w14:paraId="5C24C178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（一）全面推开营改增试点。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做好营改增税负分析和纳税辅导工作，确保各行业税负只减不增。设立石狮市国税局营改增税负分析专门工作组，组织蚶江、祥芝、永宁国税分局对样本企业，尤其是重点样本企业开展纳税申报前的培训、辅导工作，指导企业用足用好政策。简化营改增各项办理程序，采取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多元办税、错峰办税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模式，坚持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实体办税、网上办税、自助办税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多种办税途径，采取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错峰、预约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多种分流措施，分流办税人群。创新推行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专家导税团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+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志愿者预审服务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，做好充分预审工作，提高窗口办件效率。（责任单位：市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财政局、国家税务局、地方税务局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）</w:t>
      </w:r>
    </w:p>
    <w:p w14:paraId="091F046B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lastRenderedPageBreak/>
        <w:t>（二）贯彻落实研发费用加计扣除政策。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摸底核查，强化辅导，做好优惠政策专题培训，鼓励企业享受优惠。做好《高新技术企业认定管理办法》的政策宣传，针对放宽高新技术企业认定条件和支持领域的相关政策，加强个性化辅导，引导符合条件的企业备案享受税收优惠政策。举办研发费用加计扣除专题讲座，针对企业研发费用加计扣除税收优惠政策的特点，开展个性化服务，提供纳税咨询，帮助企业及时准确地理解掌握税收优惠政策，引导和帮助企业规范账务核算。（责任单位：市财政局、科技和知识产权局、国家税务局、地方税务局）</w:t>
      </w:r>
    </w:p>
    <w:p w14:paraId="05F93EF6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（三）贯彻落实上级减免政府性基金政策。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做好宣传、加强辅导、优化管理、沟通协调、跟踪监控，最大限度地保证符合条件的小微企业享受到国家政策红利。落实小微企业优惠政策，及时减轻小微企业的资金压力，增强小微企业应对市场风险的能力，助推小微企业健康发展。（责任单位：市财政局、地方税务局、经济局）</w:t>
      </w:r>
    </w:p>
    <w:p w14:paraId="45F11EC9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二、降低企业融资成本</w:t>
      </w:r>
    </w:p>
    <w:p w14:paraId="4E36E06E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（四）加大实体经济支持力度。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认真贯彻落实中国人民银行等八部委《关于金融支持工业稳增长调结构增效益的若干意见》，用好和创新金融工具，服务实体经济，力争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2017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年新增信贷计划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50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亿元。加大对智能制造、新材料、节能环保等战略性新兴产业，纺织、机械等传统产业技术改造和转型升级等的支持力度。推行授信联合管理，对暂时遇到困难但符合国家产业政策的重点项目、质效较好的科技型企业，建立风险联合化解机制，避免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一刀切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式的抽贷、停贷、压贷。（责任单位：市金融工作局、中国人民银行石狮市支行、泉州银监分局石狮监管办事处）</w:t>
      </w:r>
    </w:p>
    <w:p w14:paraId="2A4CCCE1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（五）扩大直接融资规模。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加快上市后备企业培育，加强辅导服务，落实激励措施，支持上市挂牌企业开展再融资和并购重组。完善直接融资奖励，培育直接融资主体，防范直接融资风险。支持企业综合利用企业债券、公司债券、中期票据、短期融资券、超短期融资券、非金融企业定向债务融资工具等债券品种进行融资。积极做好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引银入石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工作，适时引进民营银行、股份制银行等入驻石狮，发展中小金融机构。（责任单位：市金融工作局、中国人民银行石狮市支行、泉州银监分局石狮监管办事处）</w:t>
      </w:r>
    </w:p>
    <w:p w14:paraId="5F5CA34F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（六）降低融资中间环节费用。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引导各银行业金融机构完善信贷资金向实体经济融通机制，降低贷款中间环节费用，严禁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以贷转存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存贷挂钩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等变相提高贷款利率行为。引导金融机构针对不同企业合理定价。督促银行业金融机构依法合规收费，制止不规范收费行为。依法严肃查处各种违规收费行为，定期对各银行业机构进行监督检查。（责任单位：市金融工作局、中国人民银行石狮市支行、泉州银监分局石狮监管办事处）</w:t>
      </w:r>
    </w:p>
    <w:p w14:paraId="7FF20A27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（七）优化融资环境。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引导各银行业机构积极增加信贷投放，并在有效提高贷款增量的同时，持续优化信贷结构。加大对小微企业、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三农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等薄弱环节和重点领域的信贷支持力度，营造适宜的货币金融环境。切实加强对非法金融活动的防控和打击，引导资金回流实体经济。（责任单位：市金融工作局、中国人民银行石狮市支行、泉州银监分局石狮监管办事处）</w:t>
      </w:r>
    </w:p>
    <w:p w14:paraId="037C6F0F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三、着力降低制度性交易成本</w:t>
      </w:r>
    </w:p>
    <w:p w14:paraId="57BD53B6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（八）加强公平竞争市场环境建设。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注重扶持本地民营企业健康成长，坚持吸引外来投资和促进本地企业并举，发挥国企优势，挖掘民企潜力，加大引导力度，鼓励支持民间资本积极参与，把我市民营经济发展潜力挖掘出来，使潜在优势转化为项目优势、产业优势和经济发展优势，努力把短板补齐、做长。促进小微企业成长，鼓励加工个体工商户转为法人企业，规模以下企业成长为规上企业。自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2016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年（含）起新增加的规模以上工业企业，每家给予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2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万元奖励。强化权力清单限制，建立并实行负面清单管理制度，放宽市场准入条件，消除所有制歧视，打破行业垄断壁垒，真正实现公平竞争。引导和鼓励有条件的民营企业建立现代企业制度，改变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家族式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作坊式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管理，为企业做大做强提供可靠制度保障。（责任单位：市经济局、市场监督管理局、统计局）</w:t>
      </w:r>
    </w:p>
    <w:p w14:paraId="15414EFA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（九）深化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放管服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改革，创造良好营商环境。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持续推进登记制度改革，进一步优化市场主体准入机制，降低创业的制度性成本，优化创业环境和营商环境。实施投资项目立项阶段并联审批，继续推进审批事项申报材料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瘦身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工作。落实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双随机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抽查制度，规范涉企行政检查行为。（责任单位：市行政服务中心管委会）</w:t>
      </w:r>
    </w:p>
    <w:p w14:paraId="057F88D7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（十）加快社会信用体系建设。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全面推进社会信用体系建设，加强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诚信石狮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建设，完善失信联合惩戒平台，降低企业获取金融服务的门槛与成本。整合提升小微企业信用信息平台和民间融资登记系统，加强辖区信用环境建设，积极支持银行业信贷资产保全与清收，大力打击逃废银行债务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跑路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和民间暴力逼债等违法、违规行为，防止出现大面积银行债务违约现象，维护我市良好的经济、金融环境。指导企业利用商标专用权开展质押贷款，盘活商标价值，并将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恶意侵权行为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、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企图套取专利奖励资金行为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等纳入平台信息内容，联合各部门，全方位多角度地对列入平台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黑名单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的人员给予一定处罚。做好行政许可信息、行政处罚信息、企业公示信息和经营行为情况抽查监管信息、经营异常名录信息及严重违法失信企业名单信息的公示工作。（责任单位：市经济局、金融工作局、市场监督管理局、法院、国家税务局、地方税务局、中国人民银行石狮市支行、泉州银监分局石狮监管办事处）</w:t>
      </w:r>
    </w:p>
    <w:p w14:paraId="08B1668B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四、合理降低企业用工成本</w:t>
      </w:r>
    </w:p>
    <w:p w14:paraId="18B78C16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（十一）进一步降低社保费率。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落实好省、泉州市有关降低社保费率的要求，适当调整企业生育保险费率和工伤保险行业汇率。（责任单位：市人力资源和社会保障局）</w:t>
      </w:r>
    </w:p>
    <w:p w14:paraId="5485D433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（十二）完善最低工资调整机制。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开展企业薪酬调查，建立人力资源市场工资指导价位信息发布制度，加强企业工资分配的宏观监控和调控，指导企业建立健全工资水平正常增长机制。开展人工成本监测，通过对企业用工情况、职工劳动合同签订情况、从业人员劳动报酬情况、在岗职工平均工资情况等的有效监测，动态掌握企业人工成本变化情况，有效服务和指导企业合理制定劳动报酬。（责任单位：市人力资源和社会保障局）</w:t>
      </w:r>
    </w:p>
    <w:p w14:paraId="2D2A88D0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（十三）加大对企业职工培训的补贴力度。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严格执行省、泉州市企业职工培训补贴办法，企业在依法提取和使用职工教育经费后，职工技能培训费用不足部分，由市财政部门在其缴纳的地方教育附加费额度内予以补助。（责任单位：市人力资源和社会保障局、财政局）</w:t>
      </w:r>
    </w:p>
    <w:p w14:paraId="53CF56B3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五、进一步降低企业用能用地成本</w:t>
      </w:r>
    </w:p>
    <w:p w14:paraId="543DE146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（十四）完善土地供应制度，降低企业用地成本。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积极探索工业用地长期租赁、先租后让、租让结合等多种供应形式，加快出台弹性出让机制的实施意见。（责任单位：市国土规划和房产管理局、财政局）</w:t>
      </w:r>
    </w:p>
    <w:p w14:paraId="64F828DF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（十五）实施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两税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即征即奖政策。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房产税、城镇土地使用税由税务部门按征收标准足额征收。为鼓励民营工业企业充分利用厂房，促进企业投产、达效，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2017-2018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年度，对照章纳税、无不良信用记录的民营工业企业所用厂房没有闲置的，实行房产税、城镇土地使用税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即征即奖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政策。企业申请奖励时应提交缴纳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两税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证明，所用厂房为租赁的还应提供租金发票复印件。（责任单位：市财政局、经济局、地方税务局）</w:t>
      </w:r>
    </w:p>
    <w:p w14:paraId="1F44E92D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六、较大幅度降低企业物流成本</w:t>
      </w:r>
    </w:p>
    <w:p w14:paraId="31B227FC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（十六）改善物流业发展环境。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推广多式联运，加快构建物流公共信息平台，推进跨部门、跨区域、跨运输方式物流相关信息互联共享，鼓励企业间运力资源共享，提高运输车辆实载率。大力发展甩挂运输、电子商务物流、冷链物流等新型业态。引导物流企业健全现代物流标准体系，强化物流标准实施，推动物流业与制造业等产业联动发展。（责任单位：市经济局、交通和城市建设局、商务局、市场监督管理局）</w:t>
      </w:r>
    </w:p>
    <w:p w14:paraId="1AB4B0B6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七、提高企业资金周转效率</w:t>
      </w:r>
    </w:p>
    <w:p w14:paraId="20EBF882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（十七）开展投贷联动试点，支持科技创新创业企业。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根据《中国银监会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 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科技部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 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中国人民银行关于支持银行业金融机构加大创新力度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 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开展科创企业投贷联动试点的指导意见》（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0"/>
          <w:szCs w:val="30"/>
        </w:rPr>
        <w:t>银监发〔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0"/>
          <w:szCs w:val="30"/>
        </w:rPr>
        <w:t>2016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0"/>
          <w:szCs w:val="30"/>
        </w:rPr>
        <w:t>〕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0"/>
          <w:szCs w:val="30"/>
        </w:rPr>
        <w:t>14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0"/>
          <w:szCs w:val="30"/>
        </w:rPr>
        <w:t>号）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，鼓励和指导银行业金融机构开展投贷联动业务试点。（责任单位：市科技和知识产权局、中国人民银行石狮市支行、泉州银监分局石狮监管办事处）</w:t>
      </w:r>
    </w:p>
    <w:p w14:paraId="17A94428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（十八）支持重点企业资金周转。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引导各银行业机构按照分类施策的原则，支持去产能、去库存、去杠杆，支持困难企业扭亏、转型、发展、脱困。对三家以上债权银行且贷款余额达到一定标准以上的客户，督促成立债权人委员会，根据企业情况分类研究确定统一处置方案。督促各银行机构认真落实泉州银监分局、泉州市金融局出台的《泉州银行业分类帮扶困难企业指导意见》，提高对困难企业分类帮扶针对性。对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僵尸企业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，制定清晰可行的资产保全计划，稳妥有序推动其重组整合或退出市场，盘活沉淀在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僵尸企业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和低效领域的信贷资源；对出现暂时性经营困难的企业，稳定预期、稳定信贷、稳定支持，通过必要的、风险可控的收回再贷、展期续贷、并购重组等方式，最大限度地帮助困难企业实现近期解危、远期解困。协调主管行业范围内项目建设单位按照招标文件、合同约定及规范性文件规定，及时按比例拨付工程款。（责任单位：市金融工作局、经济局、交通和城市建设局、中国人民银行石狮市支行、泉州银监分局石狮监管办事处）</w:t>
      </w:r>
    </w:p>
    <w:p w14:paraId="53A87D75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（十九）清理规范工程建设领域保证金。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根据国务院、省、泉州市清理工程建设领域保证金的相关文件要求，除保留投标保证金、履约保证金、质量保证金和农民工工资保证金等按规定可以征收的保证金外，全面清理无依据无文件规定的各类保证金。实行工资保证金差异化缴存办法，将工资保证金制度与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无欠薪项目部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创建活动等相结合，对一定时期内未发生工资拖欠的实行减免措施。（责任单位：市交通和城市建设局、人力资源和社会保障局）</w:t>
      </w:r>
    </w:p>
    <w:p w14:paraId="01E1E3EC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（二十）化解企业债务链风险。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督促各银行业健全风险预警报告机制，严守风险底线。督促各银行业认真执行不良贷款月度监测快报制度和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四类风险客户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监测制度，加强动态监测分析，摸清本机构重点行业、重点领域、重点区域、重点客户的风险情况，及早预警风险，并采取有效处置措施，努力化解可能存在的系统性风险、行业性风险。（责任单位：市金融工作局、中国人民银行石狮市支行、泉州银监分局石狮监管办事处）</w:t>
      </w:r>
    </w:p>
    <w:p w14:paraId="51F19639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黑体" w:eastAsia="黑体" w:hAnsi="黑体" w:cs="Times New Roman" w:hint="eastAsia"/>
          <w:color w:val="555555"/>
          <w:kern w:val="0"/>
          <w:sz w:val="32"/>
          <w:szCs w:val="32"/>
        </w:rPr>
        <w:t>八、鼓励引导企业内部挖掘潜力</w:t>
      </w:r>
    </w:p>
    <w:p w14:paraId="3C1CD91C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（二十一）引导企业管理创新和精益生产。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引导企业以科学合理的制造体系组织为客户带来增值的生产活动，缩短生产周期；以客户需求为拉动，以消除浪费和不断改善为核心，实现以最少的投入获取成本和运作效益，显著提高企业适应市场万变的能力。（责任单位：市经济局、商务局）</w:t>
      </w:r>
    </w:p>
    <w:p w14:paraId="39C1CDD4" w14:textId="77777777" w:rsidR="00CC670F" w:rsidRPr="00CC670F" w:rsidRDefault="00CC670F" w:rsidP="00CC670F">
      <w:pPr>
        <w:widowControl/>
        <w:spacing w:line="480" w:lineRule="atLeast"/>
        <w:ind w:firstLine="640"/>
        <w:jc w:val="left"/>
        <w:rPr>
          <w:rFonts w:ascii="宋体" w:eastAsia="宋体" w:hAnsi="宋体" w:cs="Times New Roman" w:hint="eastAsia"/>
          <w:color w:val="555555"/>
          <w:kern w:val="0"/>
          <w:sz w:val="21"/>
          <w:szCs w:val="21"/>
        </w:rPr>
      </w:pPr>
      <w:r w:rsidRPr="00CC670F">
        <w:rPr>
          <w:rFonts w:ascii="楷体_GB2312" w:eastAsia="楷体_GB2312" w:hAnsi="宋体" w:cs="Times New Roman" w:hint="eastAsia"/>
          <w:color w:val="555555"/>
          <w:kern w:val="0"/>
          <w:sz w:val="32"/>
          <w:szCs w:val="32"/>
        </w:rPr>
        <w:t>（二十二）加强先进技术推广。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发展一批数字化、智能化工厂（车间），鼓励企业生产销售、购置使用泉州市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数控一代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示范项目产品，加大对生产厂家及购置方给予补助；加快推动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“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两化融合</w:t>
      </w:r>
      <w:r w:rsidRPr="00CC670F">
        <w:rPr>
          <w:rFonts w:ascii="Microsoft YaHei" w:eastAsia="Microsoft YaHei" w:hAnsi="Microsoft YaHei" w:cs="Times New Roman" w:hint="eastAsia"/>
          <w:color w:val="555555"/>
          <w:kern w:val="0"/>
          <w:sz w:val="32"/>
          <w:szCs w:val="32"/>
        </w:rPr>
        <w:t>”</w:t>
      </w:r>
      <w:r w:rsidRPr="00CC670F">
        <w:rPr>
          <w:rFonts w:ascii="仿宋_GB2312" w:eastAsia="仿宋_GB2312" w:hAnsi="宋体" w:cs="Times New Roman" w:hint="eastAsia"/>
          <w:color w:val="555555"/>
          <w:kern w:val="0"/>
          <w:sz w:val="32"/>
          <w:szCs w:val="32"/>
        </w:rPr>
        <w:t>工作，引导企业利用信息技术手段降低成本。出台《石狮市科技计划项目经费管理办法》，积极推荐企业申报国家、省、泉州市科技项目及科技荣誉。（责任单位：市经济局、财政局、科技和知识产权局）</w:t>
      </w:r>
    </w:p>
    <w:p w14:paraId="5B0222DE" w14:textId="77777777" w:rsidR="00B87A50" w:rsidRPr="00CC670F" w:rsidRDefault="00B87A50"/>
    <w:sectPr w:rsidR="00B87A50" w:rsidRPr="00CC670F" w:rsidSect="00730566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70F"/>
    <w:rsid w:val="00730566"/>
    <w:rsid w:val="00B87A50"/>
    <w:rsid w:val="00CC670F"/>
    <w:rsid w:val="00D6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B8A2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C670F"/>
    <w:rPr>
      <w:color w:val="0000FF"/>
      <w:u w:val="single"/>
    </w:rPr>
  </w:style>
  <w:style w:type="character" w:customStyle="1" w:styleId="tblue1">
    <w:name w:val="tblue1"/>
    <w:basedOn w:val="a0"/>
    <w:rsid w:val="00CC67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6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9008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3E3E3"/>
            <w:right w:val="none" w:sz="0" w:space="0" w:color="auto"/>
          </w:divBdr>
        </w:div>
        <w:div w:id="5276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461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javascript:fontZoomC();" TargetMode="External"/><Relationship Id="rId5" Type="http://schemas.openxmlformats.org/officeDocument/2006/relationships/hyperlink" Target="javascript:fontZoomB();" TargetMode="External"/><Relationship Id="rId6" Type="http://schemas.openxmlformats.org/officeDocument/2006/relationships/hyperlink" Target="javascript:fontZoomA();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734</Words>
  <Characters>4185</Characters>
  <Application>Microsoft Macintosh Word</Application>
  <DocSecurity>0</DocSecurity>
  <Lines>34</Lines>
  <Paragraphs>9</Paragraphs>
  <ScaleCrop>false</ScaleCrop>
  <LinksUpToDate>false</LinksUpToDate>
  <CharactersWithSpaces>4910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霄 李</dc:creator>
  <cp:keywords/>
  <dc:description/>
  <cp:lastModifiedBy>霄 李</cp:lastModifiedBy>
  <cp:revision>1</cp:revision>
  <dcterms:created xsi:type="dcterms:W3CDTF">2018-06-09T15:42:00Z</dcterms:created>
  <dcterms:modified xsi:type="dcterms:W3CDTF">2018-06-09T15:42:00Z</dcterms:modified>
</cp:coreProperties>
</file>