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D37" w:rsidRPr="00913D37" w:rsidRDefault="00913D37" w:rsidP="00913D37">
      <w:pPr>
        <w:widowControl/>
        <w:shd w:val="clear" w:color="auto" w:fill="FFFFFF"/>
        <w:spacing w:line="750" w:lineRule="atLeast"/>
        <w:jc w:val="center"/>
        <w:rPr>
          <w:rFonts w:ascii="微软雅黑" w:eastAsia="微软雅黑" w:hAnsi="微软雅黑" w:cs="宋体"/>
          <w:color w:val="DB0002"/>
          <w:kern w:val="0"/>
          <w:sz w:val="36"/>
          <w:szCs w:val="36"/>
        </w:rPr>
      </w:pPr>
      <w:r w:rsidRPr="00913D37">
        <w:rPr>
          <w:rFonts w:ascii="微软雅黑" w:eastAsia="微软雅黑" w:hAnsi="微软雅黑" w:cs="宋体" w:hint="eastAsia"/>
          <w:color w:val="DB0002"/>
          <w:kern w:val="0"/>
          <w:sz w:val="36"/>
          <w:szCs w:val="36"/>
        </w:rPr>
        <w:t>泉州市人民政府办公室关于印发泉州市新一轮促进工业和信息化龙头企业改造升级行动计划（2018-2020年）的通知</w:t>
      </w:r>
    </w:p>
    <w:tbl>
      <w:tblPr>
        <w:tblW w:w="15900" w:type="dxa"/>
        <w:tblCellSpacing w:w="7" w:type="dxa"/>
        <w:shd w:val="clear" w:color="auto" w:fill="E4E4E4"/>
        <w:tblCellMar>
          <w:left w:w="0" w:type="dxa"/>
          <w:right w:w="0" w:type="dxa"/>
        </w:tblCellMar>
        <w:tblLook w:val="04A0" w:firstRow="1" w:lastRow="0" w:firstColumn="1" w:lastColumn="0" w:noHBand="0" w:noVBand="1"/>
      </w:tblPr>
      <w:tblGrid>
        <w:gridCol w:w="1714"/>
        <w:gridCol w:w="3570"/>
        <w:gridCol w:w="1708"/>
        <w:gridCol w:w="3571"/>
        <w:gridCol w:w="1708"/>
        <w:gridCol w:w="3629"/>
      </w:tblGrid>
      <w:tr w:rsidR="00913D37" w:rsidRPr="00913D37" w:rsidTr="00913D37">
        <w:trPr>
          <w:tblCellSpacing w:w="7" w:type="dxa"/>
        </w:trPr>
        <w:tc>
          <w:tcPr>
            <w:tcW w:w="1500" w:type="dxa"/>
            <w:shd w:val="clear" w:color="auto" w:fill="EEEEEE"/>
            <w:tcMar>
              <w:top w:w="0" w:type="dxa"/>
              <w:left w:w="300" w:type="dxa"/>
              <w:bottom w:w="0" w:type="dxa"/>
              <w:right w:w="0" w:type="dxa"/>
            </w:tcMar>
            <w:vAlign w:val="center"/>
            <w:hideMark/>
          </w:tcPr>
          <w:p w:rsidR="00913D37" w:rsidRPr="00913D37" w:rsidRDefault="00913D37" w:rsidP="00913D37">
            <w:pPr>
              <w:widowControl/>
              <w:spacing w:line="645" w:lineRule="atLeast"/>
              <w:jc w:val="left"/>
              <w:rPr>
                <w:rFonts w:ascii="微软雅黑" w:eastAsia="微软雅黑" w:hAnsi="微软雅黑" w:cs="宋体"/>
                <w:color w:val="555555"/>
                <w:kern w:val="0"/>
                <w:szCs w:val="21"/>
              </w:rPr>
            </w:pPr>
            <w:r w:rsidRPr="00913D37">
              <w:rPr>
                <w:rFonts w:ascii="微软雅黑" w:eastAsia="微软雅黑" w:hAnsi="微软雅黑" w:cs="宋体" w:hint="eastAsia"/>
                <w:color w:val="555555"/>
                <w:kern w:val="0"/>
                <w:szCs w:val="21"/>
              </w:rPr>
              <w:t>公开方式：</w:t>
            </w:r>
          </w:p>
        </w:tc>
        <w:tc>
          <w:tcPr>
            <w:tcW w:w="3150" w:type="dxa"/>
            <w:shd w:val="clear" w:color="auto" w:fill="FFFFFF"/>
            <w:tcMar>
              <w:top w:w="0" w:type="dxa"/>
              <w:left w:w="300" w:type="dxa"/>
              <w:bottom w:w="0" w:type="dxa"/>
              <w:right w:w="0" w:type="dxa"/>
            </w:tcMar>
            <w:vAlign w:val="center"/>
            <w:hideMark/>
          </w:tcPr>
          <w:p w:rsidR="00913D37" w:rsidRPr="00913D37" w:rsidRDefault="00913D37" w:rsidP="00913D37">
            <w:pPr>
              <w:widowControl/>
              <w:spacing w:line="645" w:lineRule="atLeast"/>
              <w:jc w:val="left"/>
              <w:rPr>
                <w:rFonts w:ascii="微软雅黑" w:eastAsia="微软雅黑" w:hAnsi="微软雅黑" w:cs="宋体"/>
                <w:color w:val="555555"/>
                <w:kern w:val="0"/>
                <w:szCs w:val="21"/>
              </w:rPr>
            </w:pPr>
            <w:r w:rsidRPr="00913D37">
              <w:rPr>
                <w:rFonts w:ascii="微软雅黑" w:eastAsia="微软雅黑" w:hAnsi="微软雅黑" w:cs="宋体" w:hint="eastAsia"/>
                <w:color w:val="555555"/>
                <w:kern w:val="0"/>
                <w:szCs w:val="21"/>
              </w:rPr>
              <w:t>主动公开</w:t>
            </w:r>
          </w:p>
        </w:tc>
        <w:tc>
          <w:tcPr>
            <w:tcW w:w="1500" w:type="dxa"/>
            <w:shd w:val="clear" w:color="auto" w:fill="EEEEEE"/>
            <w:tcMar>
              <w:top w:w="0" w:type="dxa"/>
              <w:left w:w="300" w:type="dxa"/>
              <w:bottom w:w="0" w:type="dxa"/>
              <w:right w:w="0" w:type="dxa"/>
            </w:tcMar>
            <w:vAlign w:val="center"/>
            <w:hideMark/>
          </w:tcPr>
          <w:p w:rsidR="00913D37" w:rsidRPr="00913D37" w:rsidRDefault="00913D37" w:rsidP="00913D37">
            <w:pPr>
              <w:widowControl/>
              <w:spacing w:line="645" w:lineRule="atLeast"/>
              <w:jc w:val="left"/>
              <w:rPr>
                <w:rFonts w:ascii="微软雅黑" w:eastAsia="微软雅黑" w:hAnsi="微软雅黑" w:cs="宋体"/>
                <w:color w:val="555555"/>
                <w:kern w:val="0"/>
                <w:szCs w:val="21"/>
              </w:rPr>
            </w:pPr>
            <w:r w:rsidRPr="00913D37">
              <w:rPr>
                <w:rFonts w:ascii="微软雅黑" w:eastAsia="微软雅黑" w:hAnsi="微软雅黑" w:cs="宋体" w:hint="eastAsia"/>
                <w:color w:val="555555"/>
                <w:kern w:val="0"/>
                <w:szCs w:val="21"/>
              </w:rPr>
              <w:t>信息类别：</w:t>
            </w:r>
          </w:p>
        </w:tc>
        <w:tc>
          <w:tcPr>
            <w:tcW w:w="3150" w:type="dxa"/>
            <w:shd w:val="clear" w:color="auto" w:fill="FFFFFF"/>
            <w:tcMar>
              <w:top w:w="0" w:type="dxa"/>
              <w:left w:w="300" w:type="dxa"/>
              <w:bottom w:w="0" w:type="dxa"/>
              <w:right w:w="0" w:type="dxa"/>
            </w:tcMar>
            <w:vAlign w:val="center"/>
            <w:hideMark/>
          </w:tcPr>
          <w:p w:rsidR="00913D37" w:rsidRPr="00913D37" w:rsidRDefault="00913D37" w:rsidP="00913D37">
            <w:pPr>
              <w:widowControl/>
              <w:spacing w:line="645" w:lineRule="atLeast"/>
              <w:jc w:val="left"/>
              <w:rPr>
                <w:rFonts w:ascii="微软雅黑" w:eastAsia="微软雅黑" w:hAnsi="微软雅黑" w:cs="宋体"/>
                <w:color w:val="555555"/>
                <w:kern w:val="0"/>
                <w:szCs w:val="21"/>
              </w:rPr>
            </w:pPr>
            <w:r w:rsidRPr="00913D37">
              <w:rPr>
                <w:rFonts w:ascii="微软雅黑" w:eastAsia="微软雅黑" w:hAnsi="微软雅黑" w:cs="宋体" w:hint="eastAsia"/>
                <w:color w:val="555555"/>
                <w:kern w:val="0"/>
                <w:szCs w:val="21"/>
              </w:rPr>
              <w:t>规划计划方案意见</w:t>
            </w:r>
          </w:p>
        </w:tc>
        <w:tc>
          <w:tcPr>
            <w:tcW w:w="1500" w:type="dxa"/>
            <w:shd w:val="clear" w:color="auto" w:fill="EEEEEE"/>
            <w:tcMar>
              <w:top w:w="0" w:type="dxa"/>
              <w:left w:w="300" w:type="dxa"/>
              <w:bottom w:w="0" w:type="dxa"/>
              <w:right w:w="0" w:type="dxa"/>
            </w:tcMar>
            <w:vAlign w:val="center"/>
            <w:hideMark/>
          </w:tcPr>
          <w:p w:rsidR="00913D37" w:rsidRPr="00913D37" w:rsidRDefault="00913D37" w:rsidP="00913D37">
            <w:pPr>
              <w:widowControl/>
              <w:spacing w:line="645" w:lineRule="atLeast"/>
              <w:jc w:val="left"/>
              <w:rPr>
                <w:rFonts w:ascii="微软雅黑" w:eastAsia="微软雅黑" w:hAnsi="微软雅黑" w:cs="宋体"/>
                <w:color w:val="555555"/>
                <w:kern w:val="0"/>
                <w:szCs w:val="21"/>
              </w:rPr>
            </w:pPr>
            <w:r w:rsidRPr="00913D37">
              <w:rPr>
                <w:rFonts w:ascii="微软雅黑" w:eastAsia="微软雅黑" w:hAnsi="微软雅黑" w:cs="宋体" w:hint="eastAsia"/>
                <w:color w:val="555555"/>
                <w:kern w:val="0"/>
                <w:szCs w:val="21"/>
              </w:rPr>
              <w:t>索引号：</w:t>
            </w:r>
          </w:p>
        </w:tc>
        <w:tc>
          <w:tcPr>
            <w:tcW w:w="3195" w:type="dxa"/>
            <w:shd w:val="clear" w:color="auto" w:fill="FFFFFF"/>
            <w:tcMar>
              <w:top w:w="0" w:type="dxa"/>
              <w:left w:w="300" w:type="dxa"/>
              <w:bottom w:w="0" w:type="dxa"/>
              <w:right w:w="0" w:type="dxa"/>
            </w:tcMar>
            <w:vAlign w:val="center"/>
            <w:hideMark/>
          </w:tcPr>
          <w:p w:rsidR="00913D37" w:rsidRPr="00913D37" w:rsidRDefault="00913D37" w:rsidP="00913D37">
            <w:pPr>
              <w:widowControl/>
              <w:spacing w:line="645" w:lineRule="atLeast"/>
              <w:jc w:val="left"/>
              <w:rPr>
                <w:rFonts w:ascii="微软雅黑" w:eastAsia="微软雅黑" w:hAnsi="微软雅黑" w:cs="宋体"/>
                <w:color w:val="555555"/>
                <w:kern w:val="0"/>
                <w:szCs w:val="21"/>
              </w:rPr>
            </w:pPr>
            <w:r w:rsidRPr="00913D37">
              <w:rPr>
                <w:rFonts w:ascii="微软雅黑" w:eastAsia="微软雅黑" w:hAnsi="微软雅黑" w:cs="宋体" w:hint="eastAsia"/>
                <w:color w:val="555555"/>
                <w:kern w:val="0"/>
                <w:szCs w:val="21"/>
              </w:rPr>
              <w:t>QZ00101-0300-2018-00146</w:t>
            </w:r>
          </w:p>
        </w:tc>
      </w:tr>
      <w:tr w:rsidR="00913D37" w:rsidRPr="00913D37" w:rsidTr="00913D37">
        <w:trPr>
          <w:tblCellSpacing w:w="7" w:type="dxa"/>
        </w:trPr>
        <w:tc>
          <w:tcPr>
            <w:tcW w:w="0" w:type="auto"/>
            <w:shd w:val="clear" w:color="auto" w:fill="EEEEEE"/>
            <w:tcMar>
              <w:top w:w="0" w:type="dxa"/>
              <w:left w:w="300" w:type="dxa"/>
              <w:bottom w:w="0" w:type="dxa"/>
              <w:right w:w="0" w:type="dxa"/>
            </w:tcMar>
            <w:vAlign w:val="center"/>
            <w:hideMark/>
          </w:tcPr>
          <w:p w:rsidR="00913D37" w:rsidRPr="00913D37" w:rsidRDefault="00913D37" w:rsidP="00913D37">
            <w:pPr>
              <w:widowControl/>
              <w:spacing w:line="645" w:lineRule="atLeast"/>
              <w:jc w:val="left"/>
              <w:rPr>
                <w:rFonts w:ascii="微软雅黑" w:eastAsia="微软雅黑" w:hAnsi="微软雅黑" w:cs="宋体"/>
                <w:color w:val="555555"/>
                <w:kern w:val="0"/>
                <w:szCs w:val="21"/>
              </w:rPr>
            </w:pPr>
            <w:r w:rsidRPr="00913D37">
              <w:rPr>
                <w:rFonts w:ascii="微软雅黑" w:eastAsia="微软雅黑" w:hAnsi="微软雅黑" w:cs="宋体" w:hint="eastAsia"/>
                <w:color w:val="555555"/>
                <w:kern w:val="0"/>
                <w:szCs w:val="21"/>
              </w:rPr>
              <w:t>发布机构：</w:t>
            </w:r>
          </w:p>
        </w:tc>
        <w:tc>
          <w:tcPr>
            <w:tcW w:w="0" w:type="auto"/>
            <w:shd w:val="clear" w:color="auto" w:fill="FFFFFF"/>
            <w:tcMar>
              <w:top w:w="0" w:type="dxa"/>
              <w:left w:w="300" w:type="dxa"/>
              <w:bottom w:w="0" w:type="dxa"/>
              <w:right w:w="0" w:type="dxa"/>
            </w:tcMar>
            <w:vAlign w:val="center"/>
            <w:hideMark/>
          </w:tcPr>
          <w:p w:rsidR="00913D37" w:rsidRPr="00913D37" w:rsidRDefault="00913D37" w:rsidP="00913D37">
            <w:pPr>
              <w:widowControl/>
              <w:spacing w:line="645" w:lineRule="atLeast"/>
              <w:jc w:val="left"/>
              <w:rPr>
                <w:rFonts w:ascii="微软雅黑" w:eastAsia="微软雅黑" w:hAnsi="微软雅黑" w:cs="宋体"/>
                <w:color w:val="555555"/>
                <w:kern w:val="0"/>
                <w:szCs w:val="21"/>
              </w:rPr>
            </w:pPr>
            <w:r w:rsidRPr="00913D37">
              <w:rPr>
                <w:rFonts w:ascii="微软雅黑" w:eastAsia="微软雅黑" w:hAnsi="微软雅黑" w:cs="宋体" w:hint="eastAsia"/>
                <w:color w:val="555555"/>
                <w:kern w:val="0"/>
                <w:szCs w:val="21"/>
              </w:rPr>
              <w:t>泉州市人民政府办公室</w:t>
            </w:r>
          </w:p>
        </w:tc>
        <w:tc>
          <w:tcPr>
            <w:tcW w:w="0" w:type="auto"/>
            <w:shd w:val="clear" w:color="auto" w:fill="EEEEEE"/>
            <w:tcMar>
              <w:top w:w="0" w:type="dxa"/>
              <w:left w:w="300" w:type="dxa"/>
              <w:bottom w:w="0" w:type="dxa"/>
              <w:right w:w="0" w:type="dxa"/>
            </w:tcMar>
            <w:vAlign w:val="center"/>
            <w:hideMark/>
          </w:tcPr>
          <w:p w:rsidR="00913D37" w:rsidRPr="00913D37" w:rsidRDefault="00913D37" w:rsidP="00913D37">
            <w:pPr>
              <w:widowControl/>
              <w:spacing w:line="645" w:lineRule="atLeast"/>
              <w:jc w:val="left"/>
              <w:rPr>
                <w:rFonts w:ascii="微软雅黑" w:eastAsia="微软雅黑" w:hAnsi="微软雅黑" w:cs="宋体"/>
                <w:color w:val="555555"/>
                <w:kern w:val="0"/>
                <w:szCs w:val="21"/>
              </w:rPr>
            </w:pPr>
            <w:r w:rsidRPr="00913D37">
              <w:rPr>
                <w:rFonts w:ascii="微软雅黑" w:eastAsia="微软雅黑" w:hAnsi="微软雅黑" w:cs="宋体" w:hint="eastAsia"/>
                <w:color w:val="555555"/>
                <w:kern w:val="0"/>
                <w:szCs w:val="21"/>
              </w:rPr>
              <w:t>发文日期：</w:t>
            </w:r>
          </w:p>
        </w:tc>
        <w:tc>
          <w:tcPr>
            <w:tcW w:w="0" w:type="auto"/>
            <w:shd w:val="clear" w:color="auto" w:fill="FFFFFF"/>
            <w:tcMar>
              <w:top w:w="0" w:type="dxa"/>
              <w:left w:w="300" w:type="dxa"/>
              <w:bottom w:w="0" w:type="dxa"/>
              <w:right w:w="0" w:type="dxa"/>
            </w:tcMar>
            <w:vAlign w:val="center"/>
            <w:hideMark/>
          </w:tcPr>
          <w:p w:rsidR="00913D37" w:rsidRPr="00913D37" w:rsidRDefault="00913D37" w:rsidP="00913D37">
            <w:pPr>
              <w:widowControl/>
              <w:spacing w:line="645" w:lineRule="atLeast"/>
              <w:jc w:val="left"/>
              <w:rPr>
                <w:rFonts w:ascii="微软雅黑" w:eastAsia="微软雅黑" w:hAnsi="微软雅黑" w:cs="宋体"/>
                <w:color w:val="555555"/>
                <w:kern w:val="0"/>
                <w:szCs w:val="21"/>
              </w:rPr>
            </w:pPr>
            <w:r w:rsidRPr="00913D37">
              <w:rPr>
                <w:rFonts w:ascii="微软雅黑" w:eastAsia="微软雅黑" w:hAnsi="微软雅黑" w:cs="宋体" w:hint="eastAsia"/>
                <w:color w:val="555555"/>
                <w:kern w:val="0"/>
                <w:szCs w:val="21"/>
              </w:rPr>
              <w:t>2018-12-21</w:t>
            </w:r>
          </w:p>
        </w:tc>
        <w:tc>
          <w:tcPr>
            <w:tcW w:w="0" w:type="auto"/>
            <w:shd w:val="clear" w:color="auto" w:fill="EEEEEE"/>
            <w:tcMar>
              <w:top w:w="0" w:type="dxa"/>
              <w:left w:w="300" w:type="dxa"/>
              <w:bottom w:w="0" w:type="dxa"/>
              <w:right w:w="0" w:type="dxa"/>
            </w:tcMar>
            <w:vAlign w:val="center"/>
            <w:hideMark/>
          </w:tcPr>
          <w:p w:rsidR="00913D37" w:rsidRPr="00913D37" w:rsidRDefault="00913D37" w:rsidP="00913D37">
            <w:pPr>
              <w:widowControl/>
              <w:spacing w:line="645" w:lineRule="atLeast"/>
              <w:jc w:val="left"/>
              <w:rPr>
                <w:rFonts w:ascii="微软雅黑" w:eastAsia="微软雅黑" w:hAnsi="微软雅黑" w:cs="宋体"/>
                <w:color w:val="555555"/>
                <w:kern w:val="0"/>
                <w:szCs w:val="21"/>
              </w:rPr>
            </w:pPr>
            <w:r w:rsidRPr="00913D37">
              <w:rPr>
                <w:rFonts w:ascii="微软雅黑" w:eastAsia="微软雅黑" w:hAnsi="微软雅黑" w:cs="宋体" w:hint="eastAsia"/>
                <w:color w:val="555555"/>
                <w:kern w:val="0"/>
                <w:szCs w:val="21"/>
              </w:rPr>
              <w:t>备注/文号：</w:t>
            </w:r>
          </w:p>
        </w:tc>
        <w:tc>
          <w:tcPr>
            <w:tcW w:w="0" w:type="auto"/>
            <w:shd w:val="clear" w:color="auto" w:fill="FFFFFF"/>
            <w:tcMar>
              <w:top w:w="0" w:type="dxa"/>
              <w:left w:w="300" w:type="dxa"/>
              <w:bottom w:w="0" w:type="dxa"/>
              <w:right w:w="0" w:type="dxa"/>
            </w:tcMar>
            <w:vAlign w:val="center"/>
            <w:hideMark/>
          </w:tcPr>
          <w:p w:rsidR="00913D37" w:rsidRPr="00913D37" w:rsidRDefault="00913D37" w:rsidP="00913D37">
            <w:pPr>
              <w:widowControl/>
              <w:spacing w:line="645" w:lineRule="atLeast"/>
              <w:jc w:val="left"/>
              <w:rPr>
                <w:rFonts w:ascii="微软雅黑" w:eastAsia="微软雅黑" w:hAnsi="微软雅黑" w:cs="宋体"/>
                <w:color w:val="555555"/>
                <w:kern w:val="0"/>
                <w:szCs w:val="21"/>
              </w:rPr>
            </w:pPr>
            <w:r w:rsidRPr="00913D37">
              <w:rPr>
                <w:rFonts w:ascii="微软雅黑" w:eastAsia="微软雅黑" w:hAnsi="微软雅黑" w:cs="宋体" w:hint="eastAsia"/>
                <w:color w:val="555555"/>
                <w:kern w:val="0"/>
                <w:szCs w:val="21"/>
              </w:rPr>
              <w:t>泉政办〔2018〕102号</w:t>
            </w:r>
          </w:p>
        </w:tc>
      </w:tr>
      <w:tr w:rsidR="00913D37" w:rsidRPr="00913D37" w:rsidTr="00913D37">
        <w:trPr>
          <w:tblCellSpacing w:w="7" w:type="dxa"/>
        </w:trPr>
        <w:tc>
          <w:tcPr>
            <w:tcW w:w="0" w:type="auto"/>
            <w:shd w:val="clear" w:color="auto" w:fill="EEEEEE"/>
            <w:tcMar>
              <w:top w:w="0" w:type="dxa"/>
              <w:left w:w="300" w:type="dxa"/>
              <w:bottom w:w="0" w:type="dxa"/>
              <w:right w:w="0" w:type="dxa"/>
            </w:tcMar>
            <w:vAlign w:val="center"/>
            <w:hideMark/>
          </w:tcPr>
          <w:p w:rsidR="00913D37" w:rsidRPr="00913D37" w:rsidRDefault="00913D37" w:rsidP="00913D37">
            <w:pPr>
              <w:widowControl/>
              <w:spacing w:line="645" w:lineRule="atLeast"/>
              <w:jc w:val="left"/>
              <w:rPr>
                <w:rFonts w:ascii="微软雅黑" w:eastAsia="微软雅黑" w:hAnsi="微软雅黑" w:cs="宋体"/>
                <w:color w:val="555555"/>
                <w:kern w:val="0"/>
                <w:szCs w:val="21"/>
              </w:rPr>
            </w:pPr>
            <w:r w:rsidRPr="00913D37">
              <w:rPr>
                <w:rFonts w:ascii="微软雅黑" w:eastAsia="微软雅黑" w:hAnsi="微软雅黑" w:cs="宋体" w:hint="eastAsia"/>
                <w:color w:val="555555"/>
                <w:kern w:val="0"/>
                <w:szCs w:val="21"/>
              </w:rPr>
              <w:t>内容概述：</w:t>
            </w:r>
          </w:p>
        </w:tc>
        <w:tc>
          <w:tcPr>
            <w:tcW w:w="0" w:type="auto"/>
            <w:gridSpan w:val="5"/>
            <w:shd w:val="clear" w:color="auto" w:fill="FFFFFF"/>
            <w:tcMar>
              <w:top w:w="0" w:type="dxa"/>
              <w:left w:w="300" w:type="dxa"/>
              <w:bottom w:w="0" w:type="dxa"/>
              <w:right w:w="0" w:type="dxa"/>
            </w:tcMar>
            <w:vAlign w:val="center"/>
            <w:hideMark/>
          </w:tcPr>
          <w:p w:rsidR="00913D37" w:rsidRPr="00913D37" w:rsidRDefault="00913D37" w:rsidP="00913D37">
            <w:pPr>
              <w:widowControl/>
              <w:spacing w:line="645" w:lineRule="atLeast"/>
              <w:jc w:val="left"/>
              <w:rPr>
                <w:rFonts w:ascii="微软雅黑" w:eastAsia="微软雅黑" w:hAnsi="微软雅黑" w:cs="宋体"/>
                <w:color w:val="555555"/>
                <w:kern w:val="0"/>
                <w:szCs w:val="21"/>
              </w:rPr>
            </w:pPr>
          </w:p>
        </w:tc>
      </w:tr>
    </w:tbl>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各县（市、区）人民政府，泉州开发区、泉州台商投资区管委会，市人民政府各部门、各直属机构，各大企业，各高等院校：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《泉州市新一轮促进工业和信息化龙头企业改造升级行动计划（2018—2020年）》已经市政府同意，现印发给你们，请认真贯彻执行。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w:t>
      </w:r>
    </w:p>
    <w:p w:rsidR="00913D37" w:rsidRPr="00913D37" w:rsidRDefault="00913D37" w:rsidP="00913D37">
      <w:pPr>
        <w:widowControl/>
        <w:shd w:val="clear" w:color="auto" w:fill="FFFFFF"/>
        <w:jc w:val="center"/>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泉州市人民政府办公室 </w:t>
      </w:r>
    </w:p>
    <w:p w:rsidR="00913D37" w:rsidRPr="00913D37" w:rsidRDefault="00913D37" w:rsidP="00913D37">
      <w:pPr>
        <w:widowControl/>
        <w:shd w:val="clear" w:color="auto" w:fill="FFFFFF"/>
        <w:jc w:val="center"/>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2018年12月21日</w:t>
      </w:r>
    </w:p>
    <w:p w:rsidR="00913D37" w:rsidRPr="00913D37" w:rsidRDefault="00913D37" w:rsidP="00913D37">
      <w:pPr>
        <w:widowControl/>
        <w:shd w:val="clear" w:color="auto" w:fill="FFFFFF"/>
        <w:spacing w:before="75" w:after="75"/>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w:t>
      </w:r>
    </w:p>
    <w:p w:rsidR="00913D37" w:rsidRPr="00913D37" w:rsidRDefault="00913D37" w:rsidP="00913D37">
      <w:pPr>
        <w:widowControl/>
        <w:shd w:val="clear" w:color="auto" w:fill="FFFFFF"/>
        <w:jc w:val="center"/>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w:t>
      </w:r>
      <w:r w:rsidRPr="00913D37">
        <w:rPr>
          <w:rFonts w:ascii="宋体" w:eastAsia="宋体" w:hAnsi="宋体" w:cs="宋体" w:hint="eastAsia"/>
          <w:b/>
          <w:bCs/>
          <w:color w:val="555555"/>
          <w:kern w:val="0"/>
          <w:sz w:val="24"/>
          <w:szCs w:val="24"/>
        </w:rPr>
        <w:t>泉州市新一轮促进工业和信息化龙头企业改造升级行动计划（2018—2020年）</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为推动工业和信息化龙头企业改造升级、持续做大做强，实现产业高质量发展，根据《福建省人民政府办公厅关于印发新一轮促进工业和信息化龙头企业改造升级行动计划（2018—2020年）的通知》（闽政办〔2018〕50号），结合泉州市实际，特制定本行动计划。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一、工作目标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到2020年，在全市工业和信息化领域重点培育225家以上规模体量大、带动力强的龙头企业，其中营业收入（产值）50～100亿元的企业15家，超百亿元的企业达到10家，带动形成7个以上规模超千亿的产业集群，带动培育15家以上单项冠军和一批“隐形冠军”企业、80家以上“专精特新”中小企业、200家以上科技小巨人领军企业。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二、重点任务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（一）培育壮大龙头企业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w:t>
      </w:r>
      <w:r w:rsidRPr="00913D37">
        <w:rPr>
          <w:rFonts w:ascii="宋体" w:eastAsia="宋体" w:hAnsi="宋体" w:cs="宋体" w:hint="eastAsia"/>
          <w:b/>
          <w:bCs/>
          <w:color w:val="555555"/>
          <w:kern w:val="0"/>
          <w:sz w:val="24"/>
          <w:szCs w:val="24"/>
        </w:rPr>
        <w:t>1.加快项目建设</w:t>
      </w:r>
      <w:r w:rsidRPr="00913D37">
        <w:rPr>
          <w:rFonts w:ascii="宋体" w:eastAsia="宋体" w:hAnsi="宋体" w:cs="宋体" w:hint="eastAsia"/>
          <w:color w:val="555555"/>
          <w:kern w:val="0"/>
          <w:sz w:val="24"/>
          <w:szCs w:val="24"/>
        </w:rPr>
        <w:t>。鼓励产业龙头企业围绕增资扩产、改造升级、延伸链条、补齐短板等方面建设项目，积极做大总量，实现高质量发展。</w:t>
      </w:r>
      <w:r w:rsidRPr="00913D37">
        <w:rPr>
          <w:rFonts w:ascii="宋体" w:eastAsia="宋体" w:hAnsi="宋体" w:cs="宋体" w:hint="eastAsia"/>
          <w:b/>
          <w:bCs/>
          <w:color w:val="555555"/>
          <w:kern w:val="0"/>
          <w:sz w:val="24"/>
          <w:szCs w:val="24"/>
        </w:rPr>
        <w:t>传统优势产业</w:t>
      </w:r>
      <w:r w:rsidRPr="00913D37">
        <w:rPr>
          <w:rFonts w:ascii="宋体" w:eastAsia="宋体" w:hAnsi="宋体" w:cs="宋体" w:hint="eastAsia"/>
          <w:color w:val="555555"/>
          <w:kern w:val="0"/>
          <w:sz w:val="24"/>
          <w:szCs w:val="24"/>
        </w:rPr>
        <w:t>重点推进</w:t>
      </w:r>
      <w:proofErr w:type="gramStart"/>
      <w:r w:rsidRPr="00913D37">
        <w:rPr>
          <w:rFonts w:ascii="宋体" w:eastAsia="宋体" w:hAnsi="宋体" w:cs="宋体" w:hint="eastAsia"/>
          <w:color w:val="555555"/>
          <w:kern w:val="0"/>
          <w:sz w:val="24"/>
          <w:szCs w:val="24"/>
        </w:rPr>
        <w:t>百宏聚纤</w:t>
      </w:r>
      <w:proofErr w:type="gramEnd"/>
      <w:r w:rsidRPr="00913D37">
        <w:rPr>
          <w:rFonts w:ascii="宋体" w:eastAsia="宋体" w:hAnsi="宋体" w:cs="宋体" w:hint="eastAsia"/>
          <w:color w:val="555555"/>
          <w:kern w:val="0"/>
          <w:sz w:val="24"/>
          <w:szCs w:val="24"/>
        </w:rPr>
        <w:t>年产33万吨差别化纤维加弹丝生产线、沙禾布业年产9万吨针织面料技改、华宇织造时尚园、九牧永春智慧制造产业园、</w:t>
      </w:r>
      <w:proofErr w:type="gramStart"/>
      <w:r w:rsidRPr="00913D37">
        <w:rPr>
          <w:rFonts w:ascii="宋体" w:eastAsia="宋体" w:hAnsi="宋体" w:cs="宋体" w:hint="eastAsia"/>
          <w:color w:val="555555"/>
          <w:kern w:val="0"/>
          <w:sz w:val="24"/>
          <w:szCs w:val="24"/>
        </w:rPr>
        <w:t>玖龙纸业</w:t>
      </w:r>
      <w:proofErr w:type="gramEnd"/>
      <w:r w:rsidRPr="00913D37">
        <w:rPr>
          <w:rFonts w:ascii="宋体" w:eastAsia="宋体" w:hAnsi="宋体" w:cs="宋体" w:hint="eastAsia"/>
          <w:color w:val="555555"/>
          <w:kern w:val="0"/>
          <w:sz w:val="24"/>
          <w:szCs w:val="24"/>
        </w:rPr>
        <w:t>年产</w:t>
      </w:r>
      <w:r w:rsidRPr="00913D37">
        <w:rPr>
          <w:rFonts w:ascii="宋体" w:eastAsia="宋体" w:hAnsi="宋体" w:cs="宋体" w:hint="eastAsia"/>
          <w:color w:val="555555"/>
          <w:kern w:val="0"/>
          <w:sz w:val="24"/>
          <w:szCs w:val="24"/>
        </w:rPr>
        <w:lastRenderedPageBreak/>
        <w:t>65万吨高档牛卡纸扩建等项目加快建设投产。</w:t>
      </w:r>
      <w:r w:rsidRPr="00913D37">
        <w:rPr>
          <w:rFonts w:ascii="宋体" w:eastAsia="宋体" w:hAnsi="宋体" w:cs="宋体" w:hint="eastAsia"/>
          <w:b/>
          <w:bCs/>
          <w:color w:val="555555"/>
          <w:kern w:val="0"/>
          <w:sz w:val="24"/>
          <w:szCs w:val="24"/>
        </w:rPr>
        <w:t>重化产业</w:t>
      </w:r>
      <w:r w:rsidRPr="00913D37">
        <w:rPr>
          <w:rFonts w:ascii="宋体" w:eastAsia="宋体" w:hAnsi="宋体" w:cs="宋体" w:hint="eastAsia"/>
          <w:color w:val="555555"/>
          <w:kern w:val="0"/>
          <w:sz w:val="24"/>
          <w:szCs w:val="24"/>
        </w:rPr>
        <w:t>重点推进中化泉州100万吨乙烯及炼油改扩建、中</w:t>
      </w:r>
      <w:proofErr w:type="gramStart"/>
      <w:r w:rsidRPr="00913D37">
        <w:rPr>
          <w:rFonts w:ascii="宋体" w:eastAsia="宋体" w:hAnsi="宋体" w:cs="宋体" w:hint="eastAsia"/>
          <w:color w:val="555555"/>
          <w:kern w:val="0"/>
          <w:sz w:val="24"/>
          <w:szCs w:val="24"/>
        </w:rPr>
        <w:t>海油服新材料</w:t>
      </w:r>
      <w:proofErr w:type="gramEnd"/>
      <w:r w:rsidRPr="00913D37">
        <w:rPr>
          <w:rFonts w:ascii="宋体" w:eastAsia="宋体" w:hAnsi="宋体" w:cs="宋体" w:hint="eastAsia"/>
          <w:color w:val="555555"/>
          <w:kern w:val="0"/>
          <w:sz w:val="24"/>
          <w:szCs w:val="24"/>
        </w:rPr>
        <w:t>生产基地、佳龙石化PTA转产PIA、西</w:t>
      </w:r>
      <w:proofErr w:type="gramStart"/>
      <w:r w:rsidRPr="00913D37">
        <w:rPr>
          <w:rFonts w:ascii="宋体" w:eastAsia="宋体" w:hAnsi="宋体" w:cs="宋体" w:hint="eastAsia"/>
          <w:color w:val="555555"/>
          <w:kern w:val="0"/>
          <w:sz w:val="24"/>
          <w:szCs w:val="24"/>
        </w:rPr>
        <w:t>虎汽车纯</w:t>
      </w:r>
      <w:proofErr w:type="gramEnd"/>
      <w:r w:rsidRPr="00913D37">
        <w:rPr>
          <w:rFonts w:ascii="宋体" w:eastAsia="宋体" w:hAnsi="宋体" w:cs="宋体" w:hint="eastAsia"/>
          <w:color w:val="555555"/>
          <w:kern w:val="0"/>
          <w:sz w:val="24"/>
          <w:szCs w:val="24"/>
        </w:rPr>
        <w:t>电动SUV汽车生产、申利卡铝业信息化、智能化轮毂生产线等项目加快建设投产。</w:t>
      </w:r>
      <w:r w:rsidRPr="00913D37">
        <w:rPr>
          <w:rFonts w:ascii="宋体" w:eastAsia="宋体" w:hAnsi="宋体" w:cs="宋体" w:hint="eastAsia"/>
          <w:b/>
          <w:bCs/>
          <w:color w:val="555555"/>
          <w:kern w:val="0"/>
          <w:sz w:val="24"/>
          <w:szCs w:val="24"/>
        </w:rPr>
        <w:t>高新技术产业</w:t>
      </w:r>
      <w:r w:rsidRPr="00913D37">
        <w:rPr>
          <w:rFonts w:ascii="宋体" w:eastAsia="宋体" w:hAnsi="宋体" w:cs="宋体" w:hint="eastAsia"/>
          <w:color w:val="555555"/>
          <w:kern w:val="0"/>
          <w:sz w:val="24"/>
          <w:szCs w:val="24"/>
        </w:rPr>
        <w:t>重点推进晋华集成电路存储器、三安高端半导体项目、</w:t>
      </w:r>
      <w:proofErr w:type="gramStart"/>
      <w:r w:rsidRPr="00913D37">
        <w:rPr>
          <w:rFonts w:ascii="宋体" w:eastAsia="宋体" w:hAnsi="宋体" w:cs="宋体" w:hint="eastAsia"/>
          <w:color w:val="555555"/>
          <w:kern w:val="0"/>
          <w:sz w:val="24"/>
          <w:szCs w:val="24"/>
        </w:rPr>
        <w:t>矽品集成电路</w:t>
      </w:r>
      <w:proofErr w:type="gramEnd"/>
      <w:r w:rsidRPr="00913D37">
        <w:rPr>
          <w:rFonts w:ascii="宋体" w:eastAsia="宋体" w:hAnsi="宋体" w:cs="宋体" w:hint="eastAsia"/>
          <w:color w:val="555555"/>
          <w:kern w:val="0"/>
          <w:sz w:val="24"/>
          <w:szCs w:val="24"/>
        </w:rPr>
        <w:t>封装测试、南威软件高端智能设备研发与制造一体化基地、立亚新材高性能特种陶瓷材料产业化、安溪中科植物工厂等项目加快建设投产。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责任单位：</w:t>
      </w:r>
      <w:proofErr w:type="gramStart"/>
      <w:r w:rsidRPr="00913D37">
        <w:rPr>
          <w:rFonts w:ascii="宋体" w:eastAsia="宋体" w:hAnsi="宋体" w:cs="宋体" w:hint="eastAsia"/>
          <w:color w:val="555555"/>
          <w:kern w:val="0"/>
          <w:sz w:val="24"/>
          <w:szCs w:val="24"/>
        </w:rPr>
        <w:t>市发改委</w:t>
      </w:r>
      <w:proofErr w:type="gramEnd"/>
      <w:r w:rsidRPr="00913D37">
        <w:rPr>
          <w:rFonts w:ascii="宋体" w:eastAsia="宋体" w:hAnsi="宋体" w:cs="宋体" w:hint="eastAsia"/>
          <w:color w:val="555555"/>
          <w:kern w:val="0"/>
          <w:sz w:val="24"/>
          <w:szCs w:val="24"/>
        </w:rPr>
        <w:t>、经信委，各县（市、区）人民政府，泉州开发区、泉州台商投资区管委会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w:t>
      </w:r>
      <w:r w:rsidRPr="00913D37">
        <w:rPr>
          <w:rFonts w:ascii="宋体" w:eastAsia="宋体" w:hAnsi="宋体" w:cs="宋体" w:hint="eastAsia"/>
          <w:b/>
          <w:bCs/>
          <w:color w:val="555555"/>
          <w:kern w:val="0"/>
          <w:sz w:val="24"/>
          <w:szCs w:val="24"/>
        </w:rPr>
        <w:t>2.鼓励并购扩张。</w:t>
      </w:r>
      <w:r w:rsidRPr="00913D37">
        <w:rPr>
          <w:rFonts w:ascii="宋体" w:eastAsia="宋体" w:hAnsi="宋体" w:cs="宋体" w:hint="eastAsia"/>
          <w:color w:val="555555"/>
          <w:kern w:val="0"/>
          <w:sz w:val="24"/>
          <w:szCs w:val="24"/>
        </w:rPr>
        <w:t>落实《中共泉州市委  泉州市人民政府关于印发推进企业兼并重组十条措施的通知》（泉委发〔2016〕4号），鼓励龙头企业、上市公司、优质企业强</w:t>
      </w:r>
      <w:proofErr w:type="gramStart"/>
      <w:r w:rsidRPr="00913D37">
        <w:rPr>
          <w:rFonts w:ascii="宋体" w:eastAsia="宋体" w:hAnsi="宋体" w:cs="宋体" w:hint="eastAsia"/>
          <w:color w:val="555555"/>
          <w:kern w:val="0"/>
          <w:sz w:val="24"/>
          <w:szCs w:val="24"/>
        </w:rPr>
        <w:t>强</w:t>
      </w:r>
      <w:proofErr w:type="gramEnd"/>
      <w:r w:rsidRPr="00913D37">
        <w:rPr>
          <w:rFonts w:ascii="宋体" w:eastAsia="宋体" w:hAnsi="宋体" w:cs="宋体" w:hint="eastAsia"/>
          <w:color w:val="555555"/>
          <w:kern w:val="0"/>
          <w:sz w:val="24"/>
          <w:szCs w:val="24"/>
        </w:rPr>
        <w:t>联合，围绕提高产业集中度、延伸产业链，跨地区、跨行业、跨所有制开展关联性战略性重组，整合品牌资源和创新资源，完善生产、研发和服务体系，快速提高产业集中度和资源配置效率。支持龙头企业通过开展跨国兼并、品牌收购和品牌推广等方式实施商标国际化战略，并在市内设立该高端品牌的营销总部，统一经营和运营。引导并购企业向省上申报专项补助，对重大企业兼并重组项目发生的评估、审计、法律顾问等前期费用及并购贷款利息予以补助，单个项目最高不超过300万元；对并购境外或省外科技型企业，分别按照并购金额的10%和5%给予补助，单项最高不超过1000万元。对收购兼并重组标的项目库内的企业</w:t>
      </w:r>
      <w:proofErr w:type="gramStart"/>
      <w:r w:rsidRPr="00913D37">
        <w:rPr>
          <w:rFonts w:ascii="宋体" w:eastAsia="宋体" w:hAnsi="宋体" w:cs="宋体" w:hint="eastAsia"/>
          <w:color w:val="555555"/>
          <w:kern w:val="0"/>
          <w:sz w:val="24"/>
          <w:szCs w:val="24"/>
        </w:rPr>
        <w:t>且收购</w:t>
      </w:r>
      <w:proofErr w:type="gramEnd"/>
      <w:r w:rsidRPr="00913D37">
        <w:rPr>
          <w:rFonts w:ascii="宋体" w:eastAsia="宋体" w:hAnsi="宋体" w:cs="宋体" w:hint="eastAsia"/>
          <w:color w:val="555555"/>
          <w:kern w:val="0"/>
          <w:sz w:val="24"/>
          <w:szCs w:val="24"/>
        </w:rPr>
        <w:t>规模达2000万元以上的，按实际发生收购规模2%的额度由受益财政给予奖励，奖励金额不超过300万元。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责任单位：市经信委、</w:t>
      </w:r>
      <w:proofErr w:type="gramStart"/>
      <w:r w:rsidRPr="00913D37">
        <w:rPr>
          <w:rFonts w:ascii="宋体" w:eastAsia="宋体" w:hAnsi="宋体" w:cs="宋体" w:hint="eastAsia"/>
          <w:color w:val="555555"/>
          <w:kern w:val="0"/>
          <w:sz w:val="24"/>
          <w:szCs w:val="24"/>
        </w:rPr>
        <w:t>发改委</w:t>
      </w:r>
      <w:proofErr w:type="gramEnd"/>
      <w:r w:rsidRPr="00913D37">
        <w:rPr>
          <w:rFonts w:ascii="宋体" w:eastAsia="宋体" w:hAnsi="宋体" w:cs="宋体" w:hint="eastAsia"/>
          <w:color w:val="555555"/>
          <w:kern w:val="0"/>
          <w:sz w:val="24"/>
          <w:szCs w:val="24"/>
        </w:rPr>
        <w:t>、商务局、财政局、金融工作局、科技局、知识产权局，各县（市、区）人民政府，泉州开发区、泉州台商投资区管委会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（二）促进龙头企业创新发展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w:t>
      </w:r>
      <w:r w:rsidRPr="00913D37">
        <w:rPr>
          <w:rFonts w:ascii="宋体" w:eastAsia="宋体" w:hAnsi="宋体" w:cs="宋体" w:hint="eastAsia"/>
          <w:b/>
          <w:bCs/>
          <w:color w:val="555555"/>
          <w:kern w:val="0"/>
          <w:sz w:val="24"/>
          <w:szCs w:val="24"/>
        </w:rPr>
        <w:t>1.提升创新实力。</w:t>
      </w:r>
      <w:r w:rsidRPr="00913D37">
        <w:rPr>
          <w:rFonts w:ascii="宋体" w:eastAsia="宋体" w:hAnsi="宋体" w:cs="宋体" w:hint="eastAsia"/>
          <w:color w:val="555555"/>
          <w:kern w:val="0"/>
          <w:sz w:val="24"/>
          <w:szCs w:val="24"/>
        </w:rPr>
        <w:t>弘扬工匠精神，引导企业增强创新意识，带动企业自身体制创新和机制创新，加强政府和企业创新投入，以用户需求为中心加速技术创新、产品创新、管理创新和模式创新；抓住新一代信息技术与传统产业加速融合的机遇，持续改进制造工艺、产品性能和品类，提高产品核心竞争力。落实福建省企业研发费用税前加计扣除和研发经费投入分段补助政策。企业所在地财政按企业实际加计扣除的所得税额，给予龙头企业同量资金奖励，奖励资金以该企业相应年度应缴纳企业所得税额的地方财政分成部分为上限。</w:t>
      </w:r>
      <w:proofErr w:type="gramStart"/>
      <w:r w:rsidRPr="00913D37">
        <w:rPr>
          <w:rFonts w:ascii="宋体" w:eastAsia="宋体" w:hAnsi="宋体" w:cs="宋体" w:hint="eastAsia"/>
          <w:color w:val="555555"/>
          <w:kern w:val="0"/>
          <w:sz w:val="24"/>
          <w:szCs w:val="24"/>
        </w:rPr>
        <w:t>健全政</w:t>
      </w:r>
      <w:proofErr w:type="gramEnd"/>
      <w:r w:rsidRPr="00913D37">
        <w:rPr>
          <w:rFonts w:ascii="宋体" w:eastAsia="宋体" w:hAnsi="宋体" w:cs="宋体" w:hint="eastAsia"/>
          <w:color w:val="555555"/>
          <w:kern w:val="0"/>
          <w:sz w:val="24"/>
          <w:szCs w:val="24"/>
        </w:rPr>
        <w:t>产学研用金协同创新机制，完善技术转移和知识产权保护服务体系，发挥“6？18”、国家技术转移海峡中心平台功能，促进一批核心科技成果转移转化。实施工业强基工程，引导龙头企业围绕产业发展的基础瓶颈实施重点攻关，突破一批关键基础材料、核心基础零部件（元器件）、先进基础工艺、产业共性基础技术，夯实产业技术基础。加强质量咨询诊断，组织开展卓越绩效管理模式质量专家进企业免费巡诊活动，加强品牌培育工</w:t>
      </w:r>
      <w:bookmarkStart w:id="0" w:name="_GoBack"/>
      <w:bookmarkEnd w:id="0"/>
      <w:r w:rsidRPr="00913D37">
        <w:rPr>
          <w:rFonts w:ascii="宋体" w:eastAsia="宋体" w:hAnsi="宋体" w:cs="宋体" w:hint="eastAsia"/>
          <w:color w:val="555555"/>
          <w:kern w:val="0"/>
          <w:sz w:val="24"/>
          <w:szCs w:val="24"/>
        </w:rPr>
        <w:t>作，组织企业参与各级政府质量奖评选和福建省名牌产品申报工作。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责任单位：市科技局、财政局、</w:t>
      </w:r>
      <w:proofErr w:type="gramStart"/>
      <w:r w:rsidRPr="00913D37">
        <w:rPr>
          <w:rFonts w:ascii="宋体" w:eastAsia="宋体" w:hAnsi="宋体" w:cs="宋体" w:hint="eastAsia"/>
          <w:color w:val="555555"/>
          <w:kern w:val="0"/>
          <w:sz w:val="24"/>
          <w:szCs w:val="24"/>
        </w:rPr>
        <w:t>发改委</w:t>
      </w:r>
      <w:proofErr w:type="gramEnd"/>
      <w:r w:rsidRPr="00913D37">
        <w:rPr>
          <w:rFonts w:ascii="宋体" w:eastAsia="宋体" w:hAnsi="宋体" w:cs="宋体" w:hint="eastAsia"/>
          <w:color w:val="555555"/>
          <w:kern w:val="0"/>
          <w:sz w:val="24"/>
          <w:szCs w:val="24"/>
        </w:rPr>
        <w:t>、经信委、教育局、质监局、工商局、金融工作局、知识产权局，市税务局，各县（市、区）人民政府，泉州开发区、泉州台商投资区管委会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w:t>
      </w:r>
      <w:r w:rsidRPr="00913D37">
        <w:rPr>
          <w:rFonts w:ascii="宋体" w:eastAsia="宋体" w:hAnsi="宋体" w:cs="宋体" w:hint="eastAsia"/>
          <w:b/>
          <w:bCs/>
          <w:color w:val="555555"/>
          <w:kern w:val="0"/>
          <w:sz w:val="24"/>
          <w:szCs w:val="24"/>
        </w:rPr>
        <w:t>2.加强平台建设。</w:t>
      </w:r>
      <w:r w:rsidRPr="00913D37">
        <w:rPr>
          <w:rFonts w:ascii="宋体" w:eastAsia="宋体" w:hAnsi="宋体" w:cs="宋体" w:hint="eastAsia"/>
          <w:color w:val="555555"/>
          <w:kern w:val="0"/>
          <w:sz w:val="24"/>
          <w:szCs w:val="24"/>
        </w:rPr>
        <w:t>实施龙头企业研发机构全覆盖行动，推动龙头企业建设提升重点实验室、工程研究中心、企业技术中心等科技创新平台。重点鼓励龙</w:t>
      </w:r>
      <w:r w:rsidRPr="00913D37">
        <w:rPr>
          <w:rFonts w:ascii="宋体" w:eastAsia="宋体" w:hAnsi="宋体" w:cs="宋体" w:hint="eastAsia"/>
          <w:color w:val="555555"/>
          <w:kern w:val="0"/>
          <w:sz w:val="24"/>
          <w:szCs w:val="24"/>
        </w:rPr>
        <w:lastRenderedPageBreak/>
        <w:t>头企业组建国家级科技研发创新平台，对新认定的国家级重点实验室、工程实验室、工程研究中心、企业技术中心，市级财政给予100万元奖励。鼓励龙头企业围绕区域性重大技术需求，探索实现多元化投资、多样化模式和市场化运作，打造区域制造业创新平台。支持优势产业中具有业界影响力的企业牵头，以资本为纽带，联合具有较强研发能力的高校、具有行业领先地位的科研院所或能够整合区域服务的产业园区平台共同组建制造业创新中心。对经认定的国家级、省级制造业创新中心，市级财政分别一次性给予500 万元、200 万元奖励。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责任单位：市科技局、财政局、</w:t>
      </w:r>
      <w:proofErr w:type="gramStart"/>
      <w:r w:rsidRPr="00913D37">
        <w:rPr>
          <w:rFonts w:ascii="宋体" w:eastAsia="宋体" w:hAnsi="宋体" w:cs="宋体" w:hint="eastAsia"/>
          <w:color w:val="555555"/>
          <w:kern w:val="0"/>
          <w:sz w:val="24"/>
          <w:szCs w:val="24"/>
        </w:rPr>
        <w:t>发改委</w:t>
      </w:r>
      <w:proofErr w:type="gramEnd"/>
      <w:r w:rsidRPr="00913D37">
        <w:rPr>
          <w:rFonts w:ascii="宋体" w:eastAsia="宋体" w:hAnsi="宋体" w:cs="宋体" w:hint="eastAsia"/>
          <w:color w:val="555555"/>
          <w:kern w:val="0"/>
          <w:sz w:val="24"/>
          <w:szCs w:val="24"/>
        </w:rPr>
        <w:t>、经信委、教育局，各县（市、区）人民政府，泉州开发区、泉州台商投资区管委会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w:t>
      </w:r>
      <w:r w:rsidRPr="00913D37">
        <w:rPr>
          <w:rFonts w:ascii="宋体" w:eastAsia="宋体" w:hAnsi="宋体" w:cs="宋体" w:hint="eastAsia"/>
          <w:b/>
          <w:bCs/>
          <w:color w:val="555555"/>
          <w:kern w:val="0"/>
          <w:sz w:val="24"/>
          <w:szCs w:val="24"/>
        </w:rPr>
        <w:t>3.加快模式创新。</w:t>
      </w:r>
      <w:r w:rsidRPr="00913D37">
        <w:rPr>
          <w:rFonts w:ascii="宋体" w:eastAsia="宋体" w:hAnsi="宋体" w:cs="宋体" w:hint="eastAsia"/>
          <w:color w:val="555555"/>
          <w:kern w:val="0"/>
          <w:sz w:val="24"/>
          <w:szCs w:val="24"/>
        </w:rPr>
        <w:t>实施工业互联网示范工程。鼓励各行业龙头企业率先加快转型升级步伐，支持纺织鞋服、建材、机械装备等传统产业与互联网、软件和信息技术服务业企业合作，建设工业数字经济创新中心、企业</w:t>
      </w:r>
      <w:proofErr w:type="gramStart"/>
      <w:r w:rsidRPr="00913D37">
        <w:rPr>
          <w:rFonts w:ascii="宋体" w:eastAsia="宋体" w:hAnsi="宋体" w:cs="宋体" w:hint="eastAsia"/>
          <w:color w:val="555555"/>
          <w:kern w:val="0"/>
          <w:sz w:val="24"/>
          <w:szCs w:val="24"/>
        </w:rPr>
        <w:t>云服务</w:t>
      </w:r>
      <w:proofErr w:type="gramEnd"/>
      <w:r w:rsidRPr="00913D37">
        <w:rPr>
          <w:rFonts w:ascii="宋体" w:eastAsia="宋体" w:hAnsi="宋体" w:cs="宋体" w:hint="eastAsia"/>
          <w:color w:val="555555"/>
          <w:kern w:val="0"/>
          <w:sz w:val="24"/>
          <w:szCs w:val="24"/>
        </w:rPr>
        <w:t>平台为中小企业提供企业管理软件、工业设计软件、工具库、零部件库、检验检测、工程服务等资源，推动企业资源在线发布与交易，服务中小企业发展。扶持中小企业上“云”，提升信息化能力。推动制造业与互联网、物联网技术应用的创新融合，培育“互联网+产业”新模式、新业态。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责任单位：市经信委、财政局、</w:t>
      </w:r>
      <w:proofErr w:type="gramStart"/>
      <w:r w:rsidRPr="00913D37">
        <w:rPr>
          <w:rFonts w:ascii="宋体" w:eastAsia="宋体" w:hAnsi="宋体" w:cs="宋体" w:hint="eastAsia"/>
          <w:color w:val="555555"/>
          <w:kern w:val="0"/>
          <w:sz w:val="24"/>
          <w:szCs w:val="24"/>
        </w:rPr>
        <w:t>发改委</w:t>
      </w:r>
      <w:proofErr w:type="gramEnd"/>
      <w:r w:rsidRPr="00913D37">
        <w:rPr>
          <w:rFonts w:ascii="宋体" w:eastAsia="宋体" w:hAnsi="宋体" w:cs="宋体" w:hint="eastAsia"/>
          <w:color w:val="555555"/>
          <w:kern w:val="0"/>
          <w:sz w:val="24"/>
          <w:szCs w:val="24"/>
        </w:rPr>
        <w:t>、科技局，各县（市、区）人民政府，泉州开发区、泉州台商投资区管委会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（三）支持龙头企业提质增效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w:t>
      </w:r>
      <w:r w:rsidRPr="00913D37">
        <w:rPr>
          <w:rFonts w:ascii="宋体" w:eastAsia="宋体" w:hAnsi="宋体" w:cs="宋体" w:hint="eastAsia"/>
          <w:b/>
          <w:bCs/>
          <w:color w:val="555555"/>
          <w:kern w:val="0"/>
          <w:sz w:val="24"/>
          <w:szCs w:val="24"/>
        </w:rPr>
        <w:t>1.加快技术改造。</w:t>
      </w:r>
      <w:r w:rsidRPr="00913D37">
        <w:rPr>
          <w:rFonts w:ascii="宋体" w:eastAsia="宋体" w:hAnsi="宋体" w:cs="宋体" w:hint="eastAsia"/>
          <w:color w:val="555555"/>
          <w:kern w:val="0"/>
          <w:sz w:val="24"/>
          <w:szCs w:val="24"/>
        </w:rPr>
        <w:t>贯彻落实工业企业技术改造项目完工奖励政策，引导龙头企业采用新技术、新工艺、新材料、新设备实施产品升级换代，大力发展中高端产品，提高产品技术含量和附加值，扩大生产规模，降低生产成本。鼓励龙头企业广泛运用新一代信息技术实施技术改造，促进信息技术向市场、设计、生产等环节渗透，推动生产方式向柔性化、智能化、精细化转变。支持龙头企业采用先进适用的新技术、新设备、新工艺和新标准，实施省、市重点技改项目，市级财政按项目设备投资额不高于7%给予补助，单个龙头企业最高不超过250万元；固定资产产权归属企业的融资租赁方式可视同采购设备享受技改补助政策。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责任单位：市经信委、财政局，各县（市、区）人民政府，泉州开发区、泉州台商投资区管委会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w:t>
      </w:r>
      <w:r w:rsidRPr="00913D37">
        <w:rPr>
          <w:rFonts w:ascii="宋体" w:eastAsia="宋体" w:hAnsi="宋体" w:cs="宋体" w:hint="eastAsia"/>
          <w:b/>
          <w:bCs/>
          <w:color w:val="555555"/>
          <w:kern w:val="0"/>
          <w:sz w:val="24"/>
          <w:szCs w:val="24"/>
        </w:rPr>
        <w:t>2.发展智能制造。</w:t>
      </w:r>
      <w:r w:rsidRPr="00913D37">
        <w:rPr>
          <w:rFonts w:ascii="宋体" w:eastAsia="宋体" w:hAnsi="宋体" w:cs="宋体" w:hint="eastAsia"/>
          <w:color w:val="555555"/>
          <w:kern w:val="0"/>
          <w:sz w:val="24"/>
          <w:szCs w:val="24"/>
        </w:rPr>
        <w:t>引导基础条件好、需求迫切的龙头企业重点围绕离散型智能制造、流程型智能制造、网络协同制造、大规模个性化定制、远程运维服务等模式开展智能制造试点示范，带动全行业智能制造新模式应用。对龙头企业实施的智能制造项目获国家智能制造试点示范项目和智能制造试点专项项目的，一次性给予实施单位200万元奖励；对获得省级智能制造试点示范的企业，一次性给予50万元奖励。鼓励龙头企业开展关键技术攻关，对获得国家首台（套）重大技术装备保费补贴的企业，给予一次性200万元奖励；对被评定为省级首台（套）重大技术装备和智能制造装备的装备产品，给予一次性50万元的补助。鼓励龙头企业开展两化融合管理体系贯标，提升企业管理数字化水平，对通过两化融合管理体系贯标评定的企业，市级财政给予20万元奖励。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责任单位：市经信委、财政局，各县（市、区）人民政府，泉州开发区、泉州台商投资区管委会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lastRenderedPageBreak/>
        <w:t xml:space="preserve">　　</w:t>
      </w:r>
      <w:r w:rsidRPr="00913D37">
        <w:rPr>
          <w:rFonts w:ascii="宋体" w:eastAsia="宋体" w:hAnsi="宋体" w:cs="宋体" w:hint="eastAsia"/>
          <w:b/>
          <w:bCs/>
          <w:color w:val="555555"/>
          <w:kern w:val="0"/>
          <w:sz w:val="24"/>
          <w:szCs w:val="24"/>
        </w:rPr>
        <w:t>3.实施绿色制造。</w:t>
      </w:r>
      <w:r w:rsidRPr="00913D37">
        <w:rPr>
          <w:rFonts w:ascii="宋体" w:eastAsia="宋体" w:hAnsi="宋体" w:cs="宋体" w:hint="eastAsia"/>
          <w:color w:val="555555"/>
          <w:kern w:val="0"/>
          <w:sz w:val="24"/>
          <w:szCs w:val="24"/>
        </w:rPr>
        <w:t>鼓励龙头企业实施生产过程清洁化改造 ，从源头上消减污染物的产生与排放；加快龙头企业能源高效利用改造，建设能耗在线监测系统，健全能源管理体系，提升能源利用效率，持续实施燃煤锅炉节能改造、电机系统能效提升、能量系统优化、余热余压利用、节能技术装备产业化等节能重点工程。推进龙头企业资源循环利用绿色发展示范应用，强化资源综合利用、循环利用，促进企业、园区、行业间链接共生、原料互供、资源共享。以企业为主体，以标准为引领，推进绿色产品、绿色工厂、绿色工业园区、绿色供应链等绿色制造体系建设。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责任单位：市经信委、环保局，各县（市、区）人民政府，泉州开发区、泉州台商投资区管委会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（四）强化龙头企业引领带动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w:t>
      </w:r>
      <w:r w:rsidRPr="00913D37">
        <w:rPr>
          <w:rFonts w:ascii="宋体" w:eastAsia="宋体" w:hAnsi="宋体" w:cs="宋体" w:hint="eastAsia"/>
          <w:b/>
          <w:bCs/>
          <w:color w:val="555555"/>
          <w:kern w:val="0"/>
          <w:sz w:val="24"/>
          <w:szCs w:val="24"/>
        </w:rPr>
        <w:t>1.依托龙头带动中小企业发展。</w:t>
      </w:r>
      <w:r w:rsidRPr="00913D37">
        <w:rPr>
          <w:rFonts w:ascii="宋体" w:eastAsia="宋体" w:hAnsi="宋体" w:cs="宋体" w:hint="eastAsia"/>
          <w:color w:val="555555"/>
          <w:kern w:val="0"/>
          <w:sz w:val="24"/>
          <w:szCs w:val="24"/>
        </w:rPr>
        <w:t>继续开展“万家企业手拉手”专项行动，推动龙头企业持续加大本市采购额度、增强上下游产业链协同，大力引导、促进龙头企业以委托加工等方式，把生产过程中各种可以分割的环节不断地剥离出去，衍生出一些专门从事生产上下游产品的配套型企业，以大带小，逐步形成“</w:t>
      </w:r>
      <w:proofErr w:type="gramStart"/>
      <w:r w:rsidRPr="00913D37">
        <w:rPr>
          <w:rFonts w:ascii="宋体" w:eastAsia="宋体" w:hAnsi="宋体" w:cs="宋体" w:hint="eastAsia"/>
          <w:color w:val="555555"/>
          <w:kern w:val="0"/>
          <w:sz w:val="24"/>
          <w:szCs w:val="24"/>
        </w:rPr>
        <w:t>一</w:t>
      </w:r>
      <w:proofErr w:type="gramEnd"/>
      <w:r w:rsidRPr="00913D37">
        <w:rPr>
          <w:rFonts w:ascii="宋体" w:eastAsia="宋体" w:hAnsi="宋体" w:cs="宋体" w:hint="eastAsia"/>
          <w:color w:val="555555"/>
          <w:kern w:val="0"/>
          <w:sz w:val="24"/>
          <w:szCs w:val="24"/>
        </w:rPr>
        <w:t>业为主、配套协作”的生产方式。组织开展全市“专精特新”中小企业入库培育工作，引导中小企业走“专精特新”发展之路，并推荐申报省级“专精特新”中小企业，增强配套龙头企业的生产服务能力。精心培育一批制造业“瞪羚”企业、高新技术企业、创新型企业，在产业细分领域产生一批“隐形冠军”和“独角兽”企业，推动高成长企业做精做专。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责任单位：市经信委，各县（市、区）人民政府，泉州开发区、泉州台商投资区管委会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w:t>
      </w:r>
      <w:r w:rsidRPr="00913D37">
        <w:rPr>
          <w:rFonts w:ascii="宋体" w:eastAsia="宋体" w:hAnsi="宋体" w:cs="宋体" w:hint="eastAsia"/>
          <w:b/>
          <w:bCs/>
          <w:color w:val="555555"/>
          <w:kern w:val="0"/>
          <w:sz w:val="24"/>
          <w:szCs w:val="24"/>
        </w:rPr>
        <w:t>2.依托龙头带动产业集群建设。</w:t>
      </w:r>
      <w:r w:rsidRPr="00913D37">
        <w:rPr>
          <w:rFonts w:ascii="宋体" w:eastAsia="宋体" w:hAnsi="宋体" w:cs="宋体" w:hint="eastAsia"/>
          <w:color w:val="555555"/>
          <w:kern w:val="0"/>
          <w:sz w:val="24"/>
          <w:szCs w:val="24"/>
        </w:rPr>
        <w:t>突出龙头企业作为产业</w:t>
      </w:r>
      <w:proofErr w:type="gramStart"/>
      <w:r w:rsidRPr="00913D37">
        <w:rPr>
          <w:rFonts w:ascii="宋体" w:eastAsia="宋体" w:hAnsi="宋体" w:cs="宋体" w:hint="eastAsia"/>
          <w:color w:val="555555"/>
          <w:kern w:val="0"/>
          <w:sz w:val="24"/>
          <w:szCs w:val="24"/>
        </w:rPr>
        <w:t>集群主</w:t>
      </w:r>
      <w:proofErr w:type="gramEnd"/>
      <w:r w:rsidRPr="00913D37">
        <w:rPr>
          <w:rFonts w:ascii="宋体" w:eastAsia="宋体" w:hAnsi="宋体" w:cs="宋体" w:hint="eastAsia"/>
          <w:color w:val="555555"/>
          <w:kern w:val="0"/>
          <w:sz w:val="24"/>
          <w:szCs w:val="24"/>
        </w:rPr>
        <w:t>引擎的作用，提升</w:t>
      </w:r>
      <w:proofErr w:type="gramStart"/>
      <w:r w:rsidRPr="00913D37">
        <w:rPr>
          <w:rFonts w:ascii="宋体" w:eastAsia="宋体" w:hAnsi="宋体" w:cs="宋体" w:hint="eastAsia"/>
          <w:color w:val="555555"/>
          <w:kern w:val="0"/>
          <w:sz w:val="24"/>
          <w:szCs w:val="24"/>
        </w:rPr>
        <w:t>集群化</w:t>
      </w:r>
      <w:proofErr w:type="gramEnd"/>
      <w:r w:rsidRPr="00913D37">
        <w:rPr>
          <w:rFonts w:ascii="宋体" w:eastAsia="宋体" w:hAnsi="宋体" w:cs="宋体" w:hint="eastAsia"/>
          <w:color w:val="555555"/>
          <w:kern w:val="0"/>
          <w:sz w:val="24"/>
          <w:szCs w:val="24"/>
        </w:rPr>
        <w:t>发展水平。鼓励龙头骨干企业将配套中小企业纳入共同的供应链管理、质量管理、标准管理、合作研发管理等，提升专业化协作和配套能力。重点推进纺织鞋服、石油化工、机械装备、建材家居、食品等产值超千亿产业集群壮大规模、提升竞争力，加快发展壮大工艺制品、纸业印刷、集成电路等一批百亿产业集群，形成龙头引领、关联配套、专业分工、协作发展、社会化服务的产业集群格局。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责任单位：市经信委、</w:t>
      </w:r>
      <w:proofErr w:type="gramStart"/>
      <w:r w:rsidRPr="00913D37">
        <w:rPr>
          <w:rFonts w:ascii="宋体" w:eastAsia="宋体" w:hAnsi="宋体" w:cs="宋体" w:hint="eastAsia"/>
          <w:color w:val="555555"/>
          <w:kern w:val="0"/>
          <w:sz w:val="24"/>
          <w:szCs w:val="24"/>
        </w:rPr>
        <w:t>发改委</w:t>
      </w:r>
      <w:proofErr w:type="gramEnd"/>
      <w:r w:rsidRPr="00913D37">
        <w:rPr>
          <w:rFonts w:ascii="宋体" w:eastAsia="宋体" w:hAnsi="宋体" w:cs="宋体" w:hint="eastAsia"/>
          <w:color w:val="555555"/>
          <w:kern w:val="0"/>
          <w:sz w:val="24"/>
          <w:szCs w:val="24"/>
        </w:rPr>
        <w:t>，各县（市、区）人民政府，泉州开发区、泉州台商投资区管委会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w:t>
      </w:r>
      <w:r w:rsidRPr="00913D37">
        <w:rPr>
          <w:rFonts w:ascii="宋体" w:eastAsia="宋体" w:hAnsi="宋体" w:cs="宋体" w:hint="eastAsia"/>
          <w:b/>
          <w:bCs/>
          <w:color w:val="555555"/>
          <w:kern w:val="0"/>
          <w:sz w:val="24"/>
          <w:szCs w:val="24"/>
        </w:rPr>
        <w:t>3.依托龙头带动生产性服务业提升。</w:t>
      </w:r>
      <w:r w:rsidRPr="00913D37">
        <w:rPr>
          <w:rFonts w:ascii="宋体" w:eastAsia="宋体" w:hAnsi="宋体" w:cs="宋体" w:hint="eastAsia"/>
          <w:color w:val="555555"/>
          <w:kern w:val="0"/>
          <w:sz w:val="24"/>
          <w:szCs w:val="24"/>
        </w:rPr>
        <w:t>引导制造业龙头企业延伸服务链条，由产品制造为核心向产品加服务、提供整体解决方案转型，促进我市制造业龙头企业由生产型制造向服务型制造转变，培育发展服务型制造新模式新业态，培育一批服务型制造示范企业。大力发展工业设计，积极举办工业设计大赛，营造良好的工业设计发展氛围。鼓励制造业和物流业龙头企业建设</w:t>
      </w:r>
      <w:proofErr w:type="gramStart"/>
      <w:r w:rsidRPr="00913D37">
        <w:rPr>
          <w:rFonts w:ascii="宋体" w:eastAsia="宋体" w:hAnsi="宋体" w:cs="宋体" w:hint="eastAsia"/>
          <w:color w:val="555555"/>
          <w:kern w:val="0"/>
          <w:sz w:val="24"/>
          <w:szCs w:val="24"/>
        </w:rPr>
        <w:t>智能仓配一体化</w:t>
      </w:r>
      <w:proofErr w:type="gramEnd"/>
      <w:r w:rsidRPr="00913D37">
        <w:rPr>
          <w:rFonts w:ascii="宋体" w:eastAsia="宋体" w:hAnsi="宋体" w:cs="宋体" w:hint="eastAsia"/>
          <w:color w:val="555555"/>
          <w:kern w:val="0"/>
          <w:sz w:val="24"/>
          <w:szCs w:val="24"/>
        </w:rPr>
        <w:t>项目，运用互联网和信息化技术</w:t>
      </w:r>
      <w:proofErr w:type="gramStart"/>
      <w:r w:rsidRPr="00913D37">
        <w:rPr>
          <w:rFonts w:ascii="宋体" w:eastAsia="宋体" w:hAnsi="宋体" w:cs="宋体" w:hint="eastAsia"/>
          <w:color w:val="555555"/>
          <w:kern w:val="0"/>
          <w:sz w:val="24"/>
          <w:szCs w:val="24"/>
        </w:rPr>
        <w:t>提升仓配物流</w:t>
      </w:r>
      <w:proofErr w:type="gramEnd"/>
      <w:r w:rsidRPr="00913D37">
        <w:rPr>
          <w:rFonts w:ascii="宋体" w:eastAsia="宋体" w:hAnsi="宋体" w:cs="宋体" w:hint="eastAsia"/>
          <w:color w:val="555555"/>
          <w:kern w:val="0"/>
          <w:sz w:val="24"/>
          <w:szCs w:val="24"/>
        </w:rPr>
        <w:t>效率，对智能</w:t>
      </w:r>
      <w:proofErr w:type="gramStart"/>
      <w:r w:rsidRPr="00913D37">
        <w:rPr>
          <w:rFonts w:ascii="宋体" w:eastAsia="宋体" w:hAnsi="宋体" w:cs="宋体" w:hint="eastAsia"/>
          <w:color w:val="555555"/>
          <w:kern w:val="0"/>
          <w:sz w:val="24"/>
          <w:szCs w:val="24"/>
        </w:rPr>
        <w:t>仓配设备</w:t>
      </w:r>
      <w:proofErr w:type="gramEnd"/>
      <w:r w:rsidRPr="00913D37">
        <w:rPr>
          <w:rFonts w:ascii="宋体" w:eastAsia="宋体" w:hAnsi="宋体" w:cs="宋体" w:hint="eastAsia"/>
          <w:color w:val="555555"/>
          <w:kern w:val="0"/>
          <w:sz w:val="24"/>
          <w:szCs w:val="24"/>
        </w:rPr>
        <w:t>设施实际投入额按一定比例给予奖励。积极引导快递行业龙头企业区域总部落户泉州，鼓励支持快递行业在泉办事处设立法人机构。培育发展行业应用软件、移动互联网、动漫游戏、集成电路设计、物联网等软件产业，加快培育大数据、云计算、人工智能、VR／AR等新兴信息技术产业。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责任单位：市经信委、商务局、交通运输委、旅发委、教育局、</w:t>
      </w:r>
      <w:proofErr w:type="gramStart"/>
      <w:r w:rsidRPr="00913D37">
        <w:rPr>
          <w:rFonts w:ascii="宋体" w:eastAsia="宋体" w:hAnsi="宋体" w:cs="宋体" w:hint="eastAsia"/>
          <w:color w:val="555555"/>
          <w:kern w:val="0"/>
          <w:sz w:val="24"/>
          <w:szCs w:val="24"/>
        </w:rPr>
        <w:t>发改委</w:t>
      </w:r>
      <w:proofErr w:type="gramEnd"/>
      <w:r w:rsidRPr="00913D37">
        <w:rPr>
          <w:rFonts w:ascii="宋体" w:eastAsia="宋体" w:hAnsi="宋体" w:cs="宋体" w:hint="eastAsia"/>
          <w:color w:val="555555"/>
          <w:kern w:val="0"/>
          <w:sz w:val="24"/>
          <w:szCs w:val="24"/>
        </w:rPr>
        <w:t>，市邮政管理局，各县（市、区）人民政府，泉州开发区、泉州台商投资区管委会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lastRenderedPageBreak/>
        <w:t xml:space="preserve">　　三、保障措施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（一）加强组织管理。各级各部门要切实按照工作职能和责任分工狠抓落实，加强对龙头企业的培育、指导和协调工作，合力推动龙头企业加快改造升级。市</w:t>
      </w:r>
      <w:proofErr w:type="gramStart"/>
      <w:r w:rsidRPr="00913D37">
        <w:rPr>
          <w:rFonts w:ascii="宋体" w:eastAsia="宋体" w:hAnsi="宋体" w:cs="宋体" w:hint="eastAsia"/>
          <w:color w:val="555555"/>
          <w:kern w:val="0"/>
          <w:sz w:val="24"/>
          <w:szCs w:val="24"/>
        </w:rPr>
        <w:t>经信委牵头</w:t>
      </w:r>
      <w:proofErr w:type="gramEnd"/>
      <w:r w:rsidRPr="00913D37">
        <w:rPr>
          <w:rFonts w:ascii="宋体" w:eastAsia="宋体" w:hAnsi="宋体" w:cs="宋体" w:hint="eastAsia"/>
          <w:color w:val="555555"/>
          <w:kern w:val="0"/>
          <w:sz w:val="24"/>
          <w:szCs w:val="24"/>
        </w:rPr>
        <w:t>每年发布市级产业龙头企业名单，市统计局、环保局、安监局等市直有关部门协助做好相关工作。完善龙头企业挂钩联系服务制度，强化分级管理、分类指导，形成梯度发展态势，实施滚动管理。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责任单位：</w:t>
      </w:r>
      <w:proofErr w:type="gramStart"/>
      <w:r w:rsidRPr="00913D37">
        <w:rPr>
          <w:rFonts w:ascii="宋体" w:eastAsia="宋体" w:hAnsi="宋体" w:cs="宋体" w:hint="eastAsia"/>
          <w:color w:val="555555"/>
          <w:kern w:val="0"/>
          <w:sz w:val="24"/>
          <w:szCs w:val="24"/>
        </w:rPr>
        <w:t>市发改委</w:t>
      </w:r>
      <w:proofErr w:type="gramEnd"/>
      <w:r w:rsidRPr="00913D37">
        <w:rPr>
          <w:rFonts w:ascii="宋体" w:eastAsia="宋体" w:hAnsi="宋体" w:cs="宋体" w:hint="eastAsia"/>
          <w:color w:val="555555"/>
          <w:kern w:val="0"/>
          <w:sz w:val="24"/>
          <w:szCs w:val="24"/>
        </w:rPr>
        <w:t>、商务局、教育局、科技局、财政局、</w:t>
      </w:r>
      <w:proofErr w:type="gramStart"/>
      <w:r w:rsidRPr="00913D37">
        <w:rPr>
          <w:rFonts w:ascii="宋体" w:eastAsia="宋体" w:hAnsi="宋体" w:cs="宋体" w:hint="eastAsia"/>
          <w:color w:val="555555"/>
          <w:kern w:val="0"/>
          <w:sz w:val="24"/>
          <w:szCs w:val="24"/>
        </w:rPr>
        <w:t>人社局</w:t>
      </w:r>
      <w:proofErr w:type="gramEnd"/>
      <w:r w:rsidRPr="00913D37">
        <w:rPr>
          <w:rFonts w:ascii="宋体" w:eastAsia="宋体" w:hAnsi="宋体" w:cs="宋体" w:hint="eastAsia"/>
          <w:color w:val="555555"/>
          <w:kern w:val="0"/>
          <w:sz w:val="24"/>
          <w:szCs w:val="24"/>
        </w:rPr>
        <w:t>、交通运输委、环保局、旅发委、金融工作局、工商局、质监局、知识产权局，市税务局、邮政管理局、人民银行泉州市中心支行、泉州银监分局，</w:t>
      </w:r>
      <w:proofErr w:type="gramStart"/>
      <w:r w:rsidRPr="00913D37">
        <w:rPr>
          <w:rFonts w:ascii="宋体" w:eastAsia="宋体" w:hAnsi="宋体" w:cs="宋体" w:hint="eastAsia"/>
          <w:color w:val="555555"/>
          <w:kern w:val="0"/>
          <w:sz w:val="24"/>
          <w:szCs w:val="24"/>
        </w:rPr>
        <w:t>国网泉州</w:t>
      </w:r>
      <w:proofErr w:type="gramEnd"/>
      <w:r w:rsidRPr="00913D37">
        <w:rPr>
          <w:rFonts w:ascii="宋体" w:eastAsia="宋体" w:hAnsi="宋体" w:cs="宋体" w:hint="eastAsia"/>
          <w:color w:val="555555"/>
          <w:kern w:val="0"/>
          <w:sz w:val="24"/>
          <w:szCs w:val="24"/>
        </w:rPr>
        <w:t>供电公司，各县（市、区）人民政府，泉州开发区、泉州台商投资区管委会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二）强化协调服务。各级各部门要加强对列入龙头企业重点培育对象的跟踪服务，建立和完善服务企业发展常态化机制，促进政府与企业的沟通协调和双向信息共享，对企业反映的困难和问题，做到“周协调、旬反馈”， 及时有效地帮助企业解决有关困难和问题，在政策扶持、要素保障等方面给予倾斜扶持，加快培育一批规模大、实力强、带动和示范作用明显的产业领军龙头、“隐形冠军”和“独角兽”企业。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责任单位：</w:t>
      </w:r>
      <w:proofErr w:type="gramStart"/>
      <w:r w:rsidRPr="00913D37">
        <w:rPr>
          <w:rFonts w:ascii="宋体" w:eastAsia="宋体" w:hAnsi="宋体" w:cs="宋体" w:hint="eastAsia"/>
          <w:color w:val="555555"/>
          <w:kern w:val="0"/>
          <w:sz w:val="24"/>
          <w:szCs w:val="24"/>
        </w:rPr>
        <w:t>市发改委</w:t>
      </w:r>
      <w:proofErr w:type="gramEnd"/>
      <w:r w:rsidRPr="00913D37">
        <w:rPr>
          <w:rFonts w:ascii="宋体" w:eastAsia="宋体" w:hAnsi="宋体" w:cs="宋体" w:hint="eastAsia"/>
          <w:color w:val="555555"/>
          <w:kern w:val="0"/>
          <w:sz w:val="24"/>
          <w:szCs w:val="24"/>
        </w:rPr>
        <w:t>、商务局、教育局、科技局、财政局、</w:t>
      </w:r>
      <w:proofErr w:type="gramStart"/>
      <w:r w:rsidRPr="00913D37">
        <w:rPr>
          <w:rFonts w:ascii="宋体" w:eastAsia="宋体" w:hAnsi="宋体" w:cs="宋体" w:hint="eastAsia"/>
          <w:color w:val="555555"/>
          <w:kern w:val="0"/>
          <w:sz w:val="24"/>
          <w:szCs w:val="24"/>
        </w:rPr>
        <w:t>人社局</w:t>
      </w:r>
      <w:proofErr w:type="gramEnd"/>
      <w:r w:rsidRPr="00913D37">
        <w:rPr>
          <w:rFonts w:ascii="宋体" w:eastAsia="宋体" w:hAnsi="宋体" w:cs="宋体" w:hint="eastAsia"/>
          <w:color w:val="555555"/>
          <w:kern w:val="0"/>
          <w:sz w:val="24"/>
          <w:szCs w:val="24"/>
        </w:rPr>
        <w:t>、交通运输委、环保局、旅发委、金融工作局、工商局、质监局、知识产权局，市税务局、邮政管理局、人民银行泉州市中心支行、泉州银监分局，</w:t>
      </w:r>
      <w:proofErr w:type="gramStart"/>
      <w:r w:rsidRPr="00913D37">
        <w:rPr>
          <w:rFonts w:ascii="宋体" w:eastAsia="宋体" w:hAnsi="宋体" w:cs="宋体" w:hint="eastAsia"/>
          <w:color w:val="555555"/>
          <w:kern w:val="0"/>
          <w:sz w:val="24"/>
          <w:szCs w:val="24"/>
        </w:rPr>
        <w:t>国网泉州</w:t>
      </w:r>
      <w:proofErr w:type="gramEnd"/>
      <w:r w:rsidRPr="00913D37">
        <w:rPr>
          <w:rFonts w:ascii="宋体" w:eastAsia="宋体" w:hAnsi="宋体" w:cs="宋体" w:hint="eastAsia"/>
          <w:color w:val="555555"/>
          <w:kern w:val="0"/>
          <w:sz w:val="24"/>
          <w:szCs w:val="24"/>
        </w:rPr>
        <w:t>供电公司，各县（市、区）人民政府，泉州开发区、泉州台商投资区管委会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三）优化金融扶持方式。引导银行业金融机构主动对接龙头企业项目融资需求，按照风险可控原则，对符合条件的龙头企业加大信贷支持力度，并给予利率优惠，提高金融服务效率。鼓励金融机构以大数据等新技术为手段，为供应</w:t>
      </w:r>
      <w:proofErr w:type="gramStart"/>
      <w:r w:rsidRPr="00913D37">
        <w:rPr>
          <w:rFonts w:ascii="宋体" w:eastAsia="宋体" w:hAnsi="宋体" w:cs="宋体" w:hint="eastAsia"/>
          <w:color w:val="555555"/>
          <w:kern w:val="0"/>
          <w:sz w:val="24"/>
          <w:szCs w:val="24"/>
        </w:rPr>
        <w:t>链核心</w:t>
      </w:r>
      <w:proofErr w:type="gramEnd"/>
      <w:r w:rsidRPr="00913D37">
        <w:rPr>
          <w:rFonts w:ascii="宋体" w:eastAsia="宋体" w:hAnsi="宋体" w:cs="宋体" w:hint="eastAsia"/>
          <w:color w:val="555555"/>
          <w:kern w:val="0"/>
          <w:sz w:val="24"/>
          <w:szCs w:val="24"/>
        </w:rPr>
        <w:t>企业量身定制覆盖</w:t>
      </w:r>
      <w:proofErr w:type="gramStart"/>
      <w:r w:rsidRPr="00913D37">
        <w:rPr>
          <w:rFonts w:ascii="宋体" w:eastAsia="宋体" w:hAnsi="宋体" w:cs="宋体" w:hint="eastAsia"/>
          <w:color w:val="555555"/>
          <w:kern w:val="0"/>
          <w:sz w:val="24"/>
          <w:szCs w:val="24"/>
        </w:rPr>
        <w:t>供应链全流程</w:t>
      </w:r>
      <w:proofErr w:type="gramEnd"/>
      <w:r w:rsidRPr="00913D37">
        <w:rPr>
          <w:rFonts w:ascii="宋体" w:eastAsia="宋体" w:hAnsi="宋体" w:cs="宋体" w:hint="eastAsia"/>
          <w:color w:val="555555"/>
          <w:kern w:val="0"/>
          <w:sz w:val="24"/>
          <w:szCs w:val="24"/>
        </w:rPr>
        <w:t>的综合服务方案。组织应收账款融资专项行动，加大应收账款融资宣传，支持龙头企业开展应收账款融资业务，提高融资效率。引导融资租赁企业创新服务和产品，完善风险补偿机制，大力推动融资租赁与企业改造升级发展的深度融合。进一步完善龙头企业挂牌上市培育、储备和激励机制，支持龙头企业在境内外资本市场上市和全国股转系统、海峡股权（泉州）交易中心挂牌融资，加强引导上市企业再融资、并购重组。推动符合条件的龙头企业通过发行企业债券、公司债券、中期票据和短期融资</w:t>
      </w:r>
      <w:proofErr w:type="gramStart"/>
      <w:r w:rsidRPr="00913D37">
        <w:rPr>
          <w:rFonts w:ascii="宋体" w:eastAsia="宋体" w:hAnsi="宋体" w:cs="宋体" w:hint="eastAsia"/>
          <w:color w:val="555555"/>
          <w:kern w:val="0"/>
          <w:sz w:val="24"/>
          <w:szCs w:val="24"/>
        </w:rPr>
        <w:t>券</w:t>
      </w:r>
      <w:proofErr w:type="gramEnd"/>
      <w:r w:rsidRPr="00913D37">
        <w:rPr>
          <w:rFonts w:ascii="宋体" w:eastAsia="宋体" w:hAnsi="宋体" w:cs="宋体" w:hint="eastAsia"/>
          <w:color w:val="555555"/>
          <w:kern w:val="0"/>
          <w:sz w:val="24"/>
          <w:szCs w:val="24"/>
        </w:rPr>
        <w:t>筹集资金，拓宽直接融资渠道。充分发挥好市产业股权投资基金及其</w:t>
      </w:r>
      <w:proofErr w:type="gramStart"/>
      <w:r w:rsidRPr="00913D37">
        <w:rPr>
          <w:rFonts w:ascii="宋体" w:eastAsia="宋体" w:hAnsi="宋体" w:cs="宋体" w:hint="eastAsia"/>
          <w:color w:val="555555"/>
          <w:kern w:val="0"/>
          <w:sz w:val="24"/>
          <w:szCs w:val="24"/>
        </w:rPr>
        <w:t>子基金</w:t>
      </w:r>
      <w:proofErr w:type="gramEnd"/>
      <w:r w:rsidRPr="00913D37">
        <w:rPr>
          <w:rFonts w:ascii="宋体" w:eastAsia="宋体" w:hAnsi="宋体" w:cs="宋体" w:hint="eastAsia"/>
          <w:color w:val="555555"/>
          <w:kern w:val="0"/>
          <w:sz w:val="24"/>
          <w:szCs w:val="24"/>
        </w:rPr>
        <w:t>的引导作用，推动各类基金、社会资本加大对龙头企业在并购扩张、技术改造等方面的支持力度。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责任单位：市金融工作局、财政局、商务局，人民银行泉州市中心支行、泉州银监分局，各县（市、区）人民政府，泉州开发区、泉州台商投资区管委会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四）完善人才支撑保障。不断优化全市人才工作环境，加大产业化人才引进力度，深入实施泉州市中长期人才发展规划和人才“港湾计划”，稳步开展引进高端创业创新人才遴选活动，稳步实施引进高层次人才的贡献奖励规定，改善引进高端人才的工作条件和生活待遇，在资金、住房、落户、子女就学等方面给予政策支持。鼓励龙头企业通过收益分成、股权奖励、股权出售、期权奖励、分红奖励等方式，对科技成果完成及成果转移转化</w:t>
      </w:r>
      <w:proofErr w:type="gramStart"/>
      <w:r w:rsidRPr="00913D37">
        <w:rPr>
          <w:rFonts w:ascii="宋体" w:eastAsia="宋体" w:hAnsi="宋体" w:cs="宋体" w:hint="eastAsia"/>
          <w:color w:val="555555"/>
          <w:kern w:val="0"/>
          <w:sz w:val="24"/>
          <w:szCs w:val="24"/>
        </w:rPr>
        <w:t>作出</w:t>
      </w:r>
      <w:proofErr w:type="gramEnd"/>
      <w:r w:rsidRPr="00913D37">
        <w:rPr>
          <w:rFonts w:ascii="宋体" w:eastAsia="宋体" w:hAnsi="宋体" w:cs="宋体" w:hint="eastAsia"/>
          <w:color w:val="555555"/>
          <w:kern w:val="0"/>
          <w:sz w:val="24"/>
          <w:szCs w:val="24"/>
        </w:rPr>
        <w:t>重要贡献的科技人员进行激励。支持校企合作或由专业培训机构建设数控和智能制造实训</w:t>
      </w:r>
      <w:r w:rsidRPr="00913D37">
        <w:rPr>
          <w:rFonts w:ascii="宋体" w:eastAsia="宋体" w:hAnsi="宋体" w:cs="宋体" w:hint="eastAsia"/>
          <w:color w:val="555555"/>
          <w:kern w:val="0"/>
          <w:sz w:val="24"/>
          <w:szCs w:val="24"/>
        </w:rPr>
        <w:lastRenderedPageBreak/>
        <w:t>基地，培训专业技术人员和熟练工人，根据其规模、服务能力给予专项经费补助。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 xml:space="preserve">　　责任单位：市</w:t>
      </w:r>
      <w:proofErr w:type="gramStart"/>
      <w:r w:rsidRPr="00913D37">
        <w:rPr>
          <w:rFonts w:ascii="宋体" w:eastAsia="宋体" w:hAnsi="宋体" w:cs="宋体" w:hint="eastAsia"/>
          <w:color w:val="555555"/>
          <w:kern w:val="0"/>
          <w:sz w:val="24"/>
          <w:szCs w:val="24"/>
        </w:rPr>
        <w:t>人社局</w:t>
      </w:r>
      <w:proofErr w:type="gramEnd"/>
      <w:r w:rsidRPr="00913D37">
        <w:rPr>
          <w:rFonts w:ascii="宋体" w:eastAsia="宋体" w:hAnsi="宋体" w:cs="宋体" w:hint="eastAsia"/>
          <w:color w:val="555555"/>
          <w:kern w:val="0"/>
          <w:sz w:val="24"/>
          <w:szCs w:val="24"/>
        </w:rPr>
        <w:t>、教育局、科技局，市委人才办，各县（市、区）人民政府，泉州开发区、泉州台商投资区管委会 </w:t>
      </w:r>
    </w:p>
    <w:p w:rsidR="00913D37" w:rsidRPr="00913D37" w:rsidRDefault="00913D37" w:rsidP="00913D37">
      <w:pPr>
        <w:widowControl/>
        <w:shd w:val="clear" w:color="auto" w:fill="FFFFFF"/>
        <w:jc w:val="left"/>
        <w:rPr>
          <w:rFonts w:ascii="宋体" w:eastAsia="宋体" w:hAnsi="宋体" w:cs="宋体"/>
          <w:color w:val="555555"/>
          <w:kern w:val="0"/>
          <w:sz w:val="24"/>
          <w:szCs w:val="24"/>
        </w:rPr>
      </w:pPr>
      <w:r w:rsidRPr="00913D37">
        <w:rPr>
          <w:rFonts w:ascii="宋体" w:eastAsia="宋体" w:hAnsi="宋体" w:cs="宋体" w:hint="eastAsia"/>
          <w:color w:val="555555"/>
          <w:kern w:val="0"/>
          <w:sz w:val="24"/>
          <w:szCs w:val="24"/>
        </w:rPr>
        <w:t>各县（市、区）人民政府，泉州开发区、泉州台商投资区管委会要结合本地实际情况，进一步细化政策措施，更好地发挥政策叠加效应，做大做强龙头企业。</w:t>
      </w:r>
    </w:p>
    <w:p w:rsidR="00085F15" w:rsidRDefault="00085F15"/>
    <w:sectPr w:rsidR="00085F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C12"/>
    <w:rsid w:val="00085F15"/>
    <w:rsid w:val="00616359"/>
    <w:rsid w:val="00877359"/>
    <w:rsid w:val="00913D37"/>
    <w:rsid w:val="00AC6997"/>
    <w:rsid w:val="00E54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6EE49-DB6A-4403-8CF8-98D9D789F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3D3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704681">
      <w:bodyDiv w:val="1"/>
      <w:marLeft w:val="0"/>
      <w:marRight w:val="0"/>
      <w:marTop w:val="0"/>
      <w:marBottom w:val="0"/>
      <w:divBdr>
        <w:top w:val="none" w:sz="0" w:space="0" w:color="auto"/>
        <w:left w:val="none" w:sz="0" w:space="0" w:color="auto"/>
        <w:bottom w:val="none" w:sz="0" w:space="0" w:color="auto"/>
        <w:right w:val="none" w:sz="0" w:space="0" w:color="auto"/>
      </w:divBdr>
      <w:divsChild>
        <w:div w:id="2096900089">
          <w:marLeft w:val="0"/>
          <w:marRight w:val="0"/>
          <w:marTop w:val="225"/>
          <w:marBottom w:val="0"/>
          <w:divBdr>
            <w:top w:val="none" w:sz="0" w:space="0" w:color="auto"/>
            <w:left w:val="none" w:sz="0" w:space="0" w:color="auto"/>
            <w:bottom w:val="none" w:sz="0" w:space="0" w:color="auto"/>
            <w:right w:val="none" w:sz="0" w:space="0" w:color="auto"/>
          </w:divBdr>
          <w:divsChild>
            <w:div w:id="782379678">
              <w:marLeft w:val="0"/>
              <w:marRight w:val="0"/>
              <w:marTop w:val="0"/>
              <w:marBottom w:val="0"/>
              <w:divBdr>
                <w:top w:val="none" w:sz="0" w:space="0" w:color="auto"/>
                <w:left w:val="none" w:sz="0" w:space="0" w:color="auto"/>
                <w:bottom w:val="none" w:sz="0" w:space="0" w:color="auto"/>
                <w:right w:val="none" w:sz="0" w:space="0" w:color="auto"/>
              </w:divBdr>
              <w:divsChild>
                <w:div w:id="850410098">
                  <w:marLeft w:val="0"/>
                  <w:marRight w:val="0"/>
                  <w:marTop w:val="75"/>
                  <w:marBottom w:val="75"/>
                  <w:divBdr>
                    <w:top w:val="none" w:sz="0" w:space="0" w:color="auto"/>
                    <w:left w:val="none" w:sz="0" w:space="0" w:color="auto"/>
                    <w:bottom w:val="none" w:sz="0" w:space="0" w:color="auto"/>
                    <w:right w:val="none" w:sz="0" w:space="0" w:color="auto"/>
                  </w:divBdr>
                  <w:divsChild>
                    <w:div w:id="477189325">
                      <w:marLeft w:val="0"/>
                      <w:marRight w:val="0"/>
                      <w:marTop w:val="75"/>
                      <w:marBottom w:val="75"/>
                      <w:divBdr>
                        <w:top w:val="none" w:sz="0" w:space="0" w:color="auto"/>
                        <w:left w:val="none" w:sz="0" w:space="0" w:color="auto"/>
                        <w:bottom w:val="none" w:sz="0" w:space="0" w:color="auto"/>
                        <w:right w:val="none" w:sz="0" w:space="0" w:color="auto"/>
                      </w:divBdr>
                    </w:div>
                    <w:div w:id="14882078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981</Words>
  <Characters>5593</Characters>
  <Application>Microsoft Office Word</Application>
  <DocSecurity>0</DocSecurity>
  <Lines>46</Lines>
  <Paragraphs>13</Paragraphs>
  <ScaleCrop>false</ScaleCrop>
  <Company>微软中国</Company>
  <LinksUpToDate>false</LinksUpToDate>
  <CharactersWithSpaces>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2019-01-02T03:29:00Z</dcterms:created>
  <dcterms:modified xsi:type="dcterms:W3CDTF">2019-01-02T10:39:00Z</dcterms:modified>
</cp:coreProperties>
</file>