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0B66F" w14:textId="77777777" w:rsidR="007D6C51" w:rsidRPr="007D6C51" w:rsidRDefault="007D6C51" w:rsidP="007D6C51">
      <w:pPr>
        <w:widowControl/>
        <w:spacing w:line="600" w:lineRule="atLeast"/>
        <w:jc w:val="center"/>
        <w:rPr>
          <w:rFonts w:ascii="微软雅黑" w:eastAsia="微软雅黑" w:hAnsi="微软雅黑" w:cs="宋体"/>
          <w:b/>
          <w:bCs/>
          <w:color w:val="404040"/>
          <w:kern w:val="0"/>
          <w:sz w:val="24"/>
          <w:szCs w:val="24"/>
        </w:rPr>
      </w:pPr>
      <w:bookmarkStart w:id="0" w:name="_GoBack"/>
      <w:r w:rsidRPr="007D6C51">
        <w:rPr>
          <w:rFonts w:ascii="微软雅黑" w:eastAsia="微软雅黑" w:hAnsi="微软雅黑" w:cs="宋体" w:hint="eastAsia"/>
          <w:b/>
          <w:bCs/>
          <w:color w:val="404040"/>
          <w:kern w:val="0"/>
          <w:sz w:val="24"/>
          <w:szCs w:val="24"/>
        </w:rPr>
        <w:t>关于建立居民基本养老保险待遇确定和基础养老金正常调整机制的实施意见</w:t>
      </w:r>
    </w:p>
    <w:bookmarkEnd w:id="0"/>
    <w:p w14:paraId="73738DB9" w14:textId="77777777" w:rsidR="007D6C51" w:rsidRPr="007D6C51" w:rsidRDefault="007D6C51" w:rsidP="007D6C51">
      <w:pPr>
        <w:widowControl/>
        <w:shd w:val="clear" w:color="auto" w:fill="FCFCFC"/>
        <w:spacing w:line="450" w:lineRule="atLeast"/>
        <w:jc w:val="center"/>
        <w:rPr>
          <w:rFonts w:ascii="微软雅黑" w:eastAsia="微软雅黑" w:hAnsi="微软雅黑" w:cs="宋体" w:hint="eastAsia"/>
          <w:color w:val="333333"/>
          <w:kern w:val="0"/>
          <w:sz w:val="18"/>
          <w:szCs w:val="18"/>
        </w:rPr>
      </w:pPr>
      <w:r w:rsidRPr="007D6C51">
        <w:rPr>
          <w:rFonts w:ascii="微软雅黑" w:eastAsia="微软雅黑" w:hAnsi="微软雅黑" w:cs="宋体" w:hint="eastAsia"/>
          <w:color w:val="333333"/>
          <w:kern w:val="0"/>
          <w:sz w:val="18"/>
          <w:szCs w:val="18"/>
        </w:rPr>
        <w:t>2018-11-01 字体 </w:t>
      </w:r>
      <w:hyperlink r:id="rId6" w:history="1">
        <w:r w:rsidRPr="007D6C51">
          <w:rPr>
            <w:rFonts w:ascii="微软雅黑" w:eastAsia="微软雅黑" w:hAnsi="微软雅黑" w:cs="宋体" w:hint="eastAsia"/>
            <w:color w:val="0088CC"/>
            <w:kern w:val="0"/>
            <w:sz w:val="18"/>
            <w:szCs w:val="18"/>
            <w:u w:val="single"/>
          </w:rPr>
          <w:t>大</w:t>
        </w:r>
      </w:hyperlink>
      <w:r w:rsidRPr="007D6C51">
        <w:rPr>
          <w:rFonts w:ascii="微软雅黑" w:eastAsia="微软雅黑" w:hAnsi="微软雅黑" w:cs="宋体" w:hint="eastAsia"/>
          <w:color w:val="333333"/>
          <w:kern w:val="0"/>
          <w:sz w:val="18"/>
          <w:szCs w:val="18"/>
        </w:rPr>
        <w:t> </w:t>
      </w:r>
      <w:hyperlink r:id="rId7" w:history="1">
        <w:r w:rsidRPr="007D6C51">
          <w:rPr>
            <w:rFonts w:ascii="微软雅黑" w:eastAsia="微软雅黑" w:hAnsi="微软雅黑" w:cs="宋体" w:hint="eastAsia"/>
            <w:color w:val="0088CC"/>
            <w:kern w:val="0"/>
            <w:sz w:val="18"/>
            <w:szCs w:val="18"/>
            <w:u w:val="single"/>
          </w:rPr>
          <w:t>中</w:t>
        </w:r>
      </w:hyperlink>
      <w:r w:rsidRPr="007D6C51">
        <w:rPr>
          <w:rFonts w:ascii="微软雅黑" w:eastAsia="微软雅黑" w:hAnsi="微软雅黑" w:cs="宋体" w:hint="eastAsia"/>
          <w:color w:val="333333"/>
          <w:kern w:val="0"/>
          <w:sz w:val="18"/>
          <w:szCs w:val="18"/>
        </w:rPr>
        <w:t> </w:t>
      </w:r>
      <w:hyperlink r:id="rId8" w:history="1">
        <w:r w:rsidRPr="007D6C51">
          <w:rPr>
            <w:rFonts w:ascii="微软雅黑" w:eastAsia="微软雅黑" w:hAnsi="微软雅黑" w:cs="宋体" w:hint="eastAsia"/>
            <w:color w:val="0088CC"/>
            <w:kern w:val="0"/>
            <w:sz w:val="18"/>
            <w:szCs w:val="18"/>
            <w:u w:val="single"/>
          </w:rPr>
          <w:t>小</w:t>
        </w:r>
      </w:hyperlink>
    </w:p>
    <w:p w14:paraId="3310E466" w14:textId="77777777" w:rsidR="007D6C51" w:rsidRPr="007D6C51" w:rsidRDefault="007D6C51" w:rsidP="007D6C51">
      <w:pPr>
        <w:widowControl/>
        <w:spacing w:line="480" w:lineRule="auto"/>
        <w:jc w:val="left"/>
        <w:rPr>
          <w:rFonts w:ascii="微软雅黑" w:eastAsia="微软雅黑" w:hAnsi="微软雅黑" w:cs="宋体" w:hint="eastAsia"/>
          <w:color w:val="333333"/>
          <w:kern w:val="0"/>
          <w:sz w:val="18"/>
          <w:szCs w:val="18"/>
        </w:rPr>
      </w:pPr>
      <w:r w:rsidRPr="007D6C51">
        <w:rPr>
          <w:rFonts w:ascii="黑体" w:eastAsia="黑体" w:hAnsi="黑体" w:cs="宋体" w:hint="eastAsia"/>
          <w:color w:val="000000"/>
          <w:kern w:val="0"/>
          <w:sz w:val="32"/>
          <w:szCs w:val="32"/>
        </w:rPr>
        <w:t>SDPR-2018-0140017</w:t>
      </w:r>
      <w:r w:rsidRPr="007D6C51">
        <w:rPr>
          <w:rFonts w:ascii="仿宋_GB2312" w:eastAsia="仿宋_GB2312" w:hAnsi="微软雅黑" w:cs="宋体" w:hint="eastAsia"/>
          <w:color w:val="000000"/>
          <w:kern w:val="0"/>
          <w:sz w:val="32"/>
          <w:szCs w:val="32"/>
        </w:rPr>
        <w:t> </w:t>
      </w:r>
    </w:p>
    <w:p w14:paraId="2A16F001" w14:textId="77777777" w:rsidR="007D6C51" w:rsidRPr="007D6C51" w:rsidRDefault="007D6C51" w:rsidP="007D6C51">
      <w:pPr>
        <w:widowControl/>
        <w:spacing w:line="480" w:lineRule="auto"/>
        <w:jc w:val="center"/>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鲁人社规〔2018〕17号</w:t>
      </w:r>
    </w:p>
    <w:p w14:paraId="4D020CC3" w14:textId="77777777" w:rsidR="007D6C51" w:rsidRPr="007D6C51" w:rsidRDefault="007D6C51" w:rsidP="007D6C51">
      <w:pPr>
        <w:widowControl/>
        <w:spacing w:line="585" w:lineRule="atLeast"/>
        <w:jc w:val="center"/>
        <w:rPr>
          <w:rFonts w:ascii="微软雅黑" w:eastAsia="微软雅黑" w:hAnsi="微软雅黑" w:cs="宋体" w:hint="eastAsia"/>
          <w:color w:val="333333"/>
          <w:kern w:val="0"/>
          <w:sz w:val="18"/>
          <w:szCs w:val="18"/>
        </w:rPr>
      </w:pPr>
      <w:r w:rsidRPr="007D6C51">
        <w:rPr>
          <w:rFonts w:ascii="方正小标宋简体" w:eastAsia="方正小标宋简体" w:hAnsi="微软雅黑" w:cs="宋体" w:hint="eastAsia"/>
          <w:color w:val="000000"/>
          <w:kern w:val="0"/>
          <w:sz w:val="44"/>
          <w:szCs w:val="44"/>
        </w:rPr>
        <w:t>山东省人力资源和社会保障厅</w:t>
      </w:r>
      <w:r w:rsidRPr="007D6C51">
        <w:rPr>
          <w:rFonts w:ascii="方正小标宋简体" w:eastAsia="方正小标宋简体" w:hAnsi="微软雅黑" w:cs="宋体" w:hint="eastAsia"/>
          <w:color w:val="000000"/>
          <w:kern w:val="0"/>
          <w:sz w:val="44"/>
          <w:szCs w:val="44"/>
        </w:rPr>
        <w:t> </w:t>
      </w:r>
      <w:r w:rsidRPr="007D6C51">
        <w:rPr>
          <w:rFonts w:ascii="方正小标宋简体" w:eastAsia="方正小标宋简体" w:hAnsi="微软雅黑" w:cs="宋体" w:hint="eastAsia"/>
          <w:color w:val="000000"/>
          <w:kern w:val="0"/>
          <w:sz w:val="44"/>
          <w:szCs w:val="44"/>
        </w:rPr>
        <w:t>山东省财政厅</w:t>
      </w:r>
    </w:p>
    <w:p w14:paraId="62B069BB" w14:textId="77777777" w:rsidR="007D6C51" w:rsidRPr="007D6C51" w:rsidRDefault="007D6C51" w:rsidP="007D6C51">
      <w:pPr>
        <w:widowControl/>
        <w:spacing w:line="585" w:lineRule="atLeast"/>
        <w:jc w:val="center"/>
        <w:rPr>
          <w:rFonts w:ascii="微软雅黑" w:eastAsia="微软雅黑" w:hAnsi="微软雅黑" w:cs="宋体" w:hint="eastAsia"/>
          <w:color w:val="333333"/>
          <w:kern w:val="0"/>
          <w:sz w:val="18"/>
          <w:szCs w:val="18"/>
        </w:rPr>
      </w:pPr>
      <w:r w:rsidRPr="007D6C51">
        <w:rPr>
          <w:rFonts w:ascii="方正小标宋简体" w:eastAsia="方正小标宋简体" w:hAnsi="微软雅黑" w:cs="宋体" w:hint="eastAsia"/>
          <w:color w:val="000000"/>
          <w:kern w:val="0"/>
          <w:sz w:val="44"/>
          <w:szCs w:val="44"/>
        </w:rPr>
        <w:t>关于建立居民基本养老保险待遇确定和基础</w:t>
      </w:r>
    </w:p>
    <w:p w14:paraId="24D5236C" w14:textId="77777777" w:rsidR="007D6C51" w:rsidRPr="007D6C51" w:rsidRDefault="007D6C51" w:rsidP="007D6C51">
      <w:pPr>
        <w:widowControl/>
        <w:spacing w:line="585" w:lineRule="atLeast"/>
        <w:jc w:val="center"/>
        <w:rPr>
          <w:rFonts w:ascii="微软雅黑" w:eastAsia="微软雅黑" w:hAnsi="微软雅黑" w:cs="宋体" w:hint="eastAsia"/>
          <w:color w:val="333333"/>
          <w:kern w:val="0"/>
          <w:sz w:val="18"/>
          <w:szCs w:val="18"/>
        </w:rPr>
      </w:pPr>
      <w:r w:rsidRPr="007D6C51">
        <w:rPr>
          <w:rFonts w:ascii="方正小标宋简体" w:eastAsia="方正小标宋简体" w:hAnsi="微软雅黑" w:cs="宋体" w:hint="eastAsia"/>
          <w:color w:val="000000"/>
          <w:kern w:val="0"/>
          <w:sz w:val="44"/>
          <w:szCs w:val="44"/>
        </w:rPr>
        <w:t>养老金正常调整机制的实施意见</w:t>
      </w:r>
    </w:p>
    <w:p w14:paraId="1FBC9CB6" w14:textId="77777777" w:rsidR="007D6C51" w:rsidRPr="007D6C51" w:rsidRDefault="007D6C51" w:rsidP="007D6C51">
      <w:pPr>
        <w:widowControl/>
        <w:spacing w:line="540" w:lineRule="atLeast"/>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 </w:t>
      </w:r>
    </w:p>
    <w:p w14:paraId="21D4A79E" w14:textId="77777777" w:rsidR="007D6C51" w:rsidRPr="007D6C51" w:rsidRDefault="007D6C51" w:rsidP="007D6C51">
      <w:pPr>
        <w:widowControl/>
        <w:spacing w:line="540" w:lineRule="atLeast"/>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各市人力资源社会保障局、财政局：</w:t>
      </w:r>
    </w:p>
    <w:p w14:paraId="762F2665" w14:textId="77777777" w:rsidR="007D6C51" w:rsidRPr="007D6C51" w:rsidRDefault="007D6C51" w:rsidP="007D6C51">
      <w:pPr>
        <w:widowControl/>
        <w:spacing w:line="540" w:lineRule="atLeast"/>
        <w:ind w:firstLine="630"/>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为深入学习贯彻习近平新时代中国特色社会主义思想和党的十九大精神，</w:t>
      </w:r>
      <w:proofErr w:type="gramStart"/>
      <w:r w:rsidRPr="007D6C51">
        <w:rPr>
          <w:rFonts w:ascii="仿宋_GB2312" w:eastAsia="仿宋_GB2312" w:hAnsi="微软雅黑" w:cs="宋体" w:hint="eastAsia"/>
          <w:color w:val="000000"/>
          <w:kern w:val="0"/>
          <w:sz w:val="32"/>
          <w:szCs w:val="32"/>
        </w:rPr>
        <w:t>践行</w:t>
      </w:r>
      <w:proofErr w:type="gramEnd"/>
      <w:r w:rsidRPr="007D6C51">
        <w:rPr>
          <w:rFonts w:ascii="仿宋_GB2312" w:eastAsia="仿宋_GB2312" w:hAnsi="微软雅黑" w:cs="宋体" w:hint="eastAsia"/>
          <w:color w:val="000000"/>
          <w:kern w:val="0"/>
          <w:sz w:val="32"/>
          <w:szCs w:val="32"/>
        </w:rPr>
        <w:t>以人民为中心的发展思想，根据《人力资源社会保障部、财政部关于建立城乡居民基本养老保险待遇确定和基础养老金正常调整机制的指导意见》（</w:t>
      </w:r>
      <w:proofErr w:type="gramStart"/>
      <w:r w:rsidRPr="007D6C51">
        <w:rPr>
          <w:rFonts w:ascii="仿宋_GB2312" w:eastAsia="仿宋_GB2312" w:hAnsi="微软雅黑" w:cs="宋体" w:hint="eastAsia"/>
          <w:color w:val="000000"/>
          <w:kern w:val="0"/>
          <w:sz w:val="32"/>
          <w:szCs w:val="32"/>
        </w:rPr>
        <w:t>人社部</w:t>
      </w:r>
      <w:proofErr w:type="gramEnd"/>
      <w:r w:rsidRPr="007D6C51">
        <w:rPr>
          <w:rFonts w:ascii="仿宋_GB2312" w:eastAsia="仿宋_GB2312" w:hAnsi="微软雅黑" w:cs="宋体" w:hint="eastAsia"/>
          <w:color w:val="000000"/>
          <w:kern w:val="0"/>
          <w:sz w:val="32"/>
          <w:szCs w:val="32"/>
        </w:rPr>
        <w:t>发〔2018〕21号）精神，经省委、省政府同意，现就我省建立激励约束有效、筹资权责清晰、保障水平适度的居民基本养老保险待遇确定和基础养老金正常调整机制，制定如下实施意见。</w:t>
      </w:r>
    </w:p>
    <w:p w14:paraId="09E0F445"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黑体" w:eastAsia="黑体" w:hAnsi="黑体" w:cs="宋体" w:hint="eastAsia"/>
          <w:color w:val="000000"/>
          <w:kern w:val="0"/>
          <w:sz w:val="32"/>
          <w:szCs w:val="32"/>
        </w:rPr>
        <w:t>一、完善居民基本养老保险待遇确定机制</w:t>
      </w:r>
    </w:p>
    <w:p w14:paraId="1607AD0C"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居民基本养老保险待遇由基础养老金和个人账户养老金构成。基础养老金由中央和地方确定标准并全额支付给</w:t>
      </w:r>
      <w:r w:rsidRPr="007D6C51">
        <w:rPr>
          <w:rFonts w:ascii="仿宋_GB2312" w:eastAsia="仿宋_GB2312" w:hAnsi="微软雅黑" w:cs="宋体" w:hint="eastAsia"/>
          <w:color w:val="000000"/>
          <w:kern w:val="0"/>
          <w:sz w:val="32"/>
          <w:szCs w:val="32"/>
        </w:rPr>
        <w:lastRenderedPageBreak/>
        <w:t>符合领取条件的参保人；个人账户养老金由个人账户全部储存额除以计发系数确定。根据国家规定和我省城乡居民人均可支配收入、财力状况等因素，合理确定我省基础养老金最低标准。对65岁及以上参保城乡居民予以适当倾斜。其中：65—74岁、75岁（含）以上的待遇领取人员，其基础养老金每人每</w:t>
      </w:r>
      <w:proofErr w:type="gramStart"/>
      <w:r w:rsidRPr="007D6C51">
        <w:rPr>
          <w:rFonts w:ascii="仿宋_GB2312" w:eastAsia="仿宋_GB2312" w:hAnsi="微软雅黑" w:cs="宋体" w:hint="eastAsia"/>
          <w:color w:val="000000"/>
          <w:kern w:val="0"/>
          <w:sz w:val="32"/>
          <w:szCs w:val="32"/>
        </w:rPr>
        <w:t>月分</w:t>
      </w:r>
      <w:proofErr w:type="gramEnd"/>
      <w:r w:rsidRPr="007D6C51">
        <w:rPr>
          <w:rFonts w:ascii="仿宋_GB2312" w:eastAsia="仿宋_GB2312" w:hAnsi="微软雅黑" w:cs="宋体" w:hint="eastAsia"/>
          <w:color w:val="000000"/>
          <w:kern w:val="0"/>
          <w:sz w:val="32"/>
          <w:szCs w:val="32"/>
        </w:rPr>
        <w:t>别高于最低基础养老金标准5元、10元，所需资金由市、县（市、区）政府承担。</w:t>
      </w:r>
    </w:p>
    <w:p w14:paraId="3F865EC1"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黑体" w:eastAsia="黑体" w:hAnsi="黑体" w:cs="宋体" w:hint="eastAsia"/>
          <w:color w:val="000000"/>
          <w:kern w:val="0"/>
          <w:sz w:val="32"/>
          <w:szCs w:val="32"/>
        </w:rPr>
        <w:t>二、建立基础养老金正常调整机制</w:t>
      </w:r>
    </w:p>
    <w:p w14:paraId="20EDF133"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按照国家部署要求，省人力资源社会保障厅会同省财政厅统筹考虑城乡居民收入增长、物价变动和职工基本养老保险等其他社会保障标准调整情况，适时提出居民基本养老保险基础养老金最低标准调整方案，报请省委和省政府确定。居民基本养老保险基础养老金最低标准每5年至少调整1次。市、县（市、区）基础养老金的调整，应由当地人力资源社会保障部门会同财政部门提出方案，报请同级党委和政府确定。</w:t>
      </w:r>
    </w:p>
    <w:p w14:paraId="634AF842"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黑体" w:eastAsia="黑体" w:hAnsi="黑体" w:cs="宋体" w:hint="eastAsia"/>
          <w:color w:val="000000"/>
          <w:kern w:val="0"/>
          <w:sz w:val="32"/>
          <w:szCs w:val="32"/>
        </w:rPr>
        <w:t>三、建立缴费年限养老金激励机制</w:t>
      </w:r>
    </w:p>
    <w:p w14:paraId="4E22E7CC"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为鼓励引导居民早参保、长缴费、不断保，参加居民基本养老保险缴费满15年后（不含补缴年限），每多缴一年，在领取居民基本养老保险待遇时，每月应适当加发年限基础养老金。加发年限基础养老金具体标准由市、县</w:t>
      </w:r>
      <w:r w:rsidRPr="007D6C51">
        <w:rPr>
          <w:rFonts w:ascii="仿宋_GB2312" w:eastAsia="仿宋_GB2312" w:hAnsi="微软雅黑" w:cs="宋体" w:hint="eastAsia"/>
          <w:color w:val="000000"/>
          <w:kern w:val="0"/>
          <w:sz w:val="32"/>
          <w:szCs w:val="32"/>
        </w:rPr>
        <w:lastRenderedPageBreak/>
        <w:t>（市、区）政府确定，所需资金由市、县（市、区）政府承担。</w:t>
      </w:r>
    </w:p>
    <w:p w14:paraId="2C236590"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黑体" w:eastAsia="黑体" w:hAnsi="黑体" w:cs="宋体" w:hint="eastAsia"/>
          <w:color w:val="000000"/>
          <w:kern w:val="0"/>
          <w:sz w:val="32"/>
          <w:szCs w:val="32"/>
        </w:rPr>
        <w:t>四、建立个人缴费档次标准调整机制</w:t>
      </w:r>
    </w:p>
    <w:p w14:paraId="64FC00BB"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省人力资源社会保障厅和省财政厅根据全省经济社会发展、城乡居民可支配收入、灵活就业人员年参保缴费额等情况，适时提出全省统一设定的居民基本养老保险参保缴费档次的意见，报省政府批准后执行。最高缴费档次标准原则上不超过当地灵活就业人员参加职工基本养老保险的年缴费额。最低缴费档次标准每5年调整1次。对重度残疾人等缴费困难群体，可保留现行最低缴费档次标准。</w:t>
      </w:r>
    </w:p>
    <w:p w14:paraId="32B4E159"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黑体" w:eastAsia="黑体" w:hAnsi="黑体" w:cs="宋体" w:hint="eastAsia"/>
          <w:color w:val="000000"/>
          <w:kern w:val="0"/>
          <w:sz w:val="32"/>
          <w:szCs w:val="32"/>
        </w:rPr>
        <w:t>五、完善缴费补贴调整机制</w:t>
      </w:r>
    </w:p>
    <w:p w14:paraId="6035DDE2"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要完善居民基本养老保险缴费补贴动态调整机制，逐步提高居民缴费水平、保障水平。根据经济发展、个人缴费标准提高和财力状况，合理调整缴费补贴标准，对选择较高档次缴费的人员适当增加缴费补贴，引导城乡居民选择高档次标准缴费。根据我省现行居民基本养老保险个人缴费档次，对选择300元标准缴费的，补贴标准不低于每人每年30元；对选择500元、600元标准缴费的，补贴标准不低于每人每年60元；对选择800元及以上标准缴费的，补贴标准不低于每人每年80元。鼓励集体经济组织提高缴费补助，鼓励其他社会组织、公益慈善组织、</w:t>
      </w:r>
      <w:proofErr w:type="gramStart"/>
      <w:r w:rsidRPr="007D6C51">
        <w:rPr>
          <w:rFonts w:ascii="仿宋_GB2312" w:eastAsia="仿宋_GB2312" w:hAnsi="微软雅黑" w:cs="宋体" w:hint="eastAsia"/>
          <w:color w:val="000000"/>
          <w:kern w:val="0"/>
          <w:sz w:val="32"/>
          <w:szCs w:val="32"/>
        </w:rPr>
        <w:t>个</w:t>
      </w:r>
      <w:proofErr w:type="gramEnd"/>
      <w:r w:rsidRPr="007D6C51">
        <w:rPr>
          <w:rFonts w:ascii="仿宋_GB2312" w:eastAsia="仿宋_GB2312" w:hAnsi="微软雅黑" w:cs="宋体" w:hint="eastAsia"/>
          <w:color w:val="000000"/>
          <w:kern w:val="0"/>
          <w:sz w:val="32"/>
          <w:szCs w:val="32"/>
        </w:rPr>
        <w:t>人为参保人缴费加大资助。</w:t>
      </w:r>
    </w:p>
    <w:p w14:paraId="0D8E1D0B" w14:textId="77777777" w:rsidR="007D6C51" w:rsidRPr="007D6C51" w:rsidRDefault="007D6C51" w:rsidP="007D6C51">
      <w:pPr>
        <w:widowControl/>
        <w:spacing w:line="540" w:lineRule="atLeast"/>
        <w:ind w:firstLine="630"/>
        <w:jc w:val="left"/>
        <w:rPr>
          <w:rFonts w:ascii="微软雅黑" w:eastAsia="微软雅黑" w:hAnsi="微软雅黑" w:cs="宋体" w:hint="eastAsia"/>
          <w:color w:val="333333"/>
          <w:kern w:val="0"/>
          <w:sz w:val="18"/>
          <w:szCs w:val="18"/>
        </w:rPr>
      </w:pPr>
      <w:r w:rsidRPr="007D6C51">
        <w:rPr>
          <w:rFonts w:ascii="黑体" w:eastAsia="黑体" w:hAnsi="黑体" w:cs="宋体" w:hint="eastAsia"/>
          <w:color w:val="000000"/>
          <w:kern w:val="0"/>
          <w:sz w:val="32"/>
          <w:szCs w:val="32"/>
        </w:rPr>
        <w:lastRenderedPageBreak/>
        <w:t>六、实现个人账户基金保值增值</w:t>
      </w:r>
    </w:p>
    <w:p w14:paraId="1FFCDEBA"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各地要按照《国务院关于印发基本养老保险基金投资管理办法的通知》（国发〔2015〕48号）、《人力资源社会保障部、财政部关于加快推进城乡居民基本养老保险基金委托投资工作的通知》（</w:t>
      </w:r>
      <w:proofErr w:type="gramStart"/>
      <w:r w:rsidRPr="007D6C51">
        <w:rPr>
          <w:rFonts w:ascii="仿宋_GB2312" w:eastAsia="仿宋_GB2312" w:hAnsi="微软雅黑" w:cs="宋体" w:hint="eastAsia"/>
          <w:color w:val="000000"/>
          <w:kern w:val="0"/>
          <w:sz w:val="32"/>
          <w:szCs w:val="32"/>
        </w:rPr>
        <w:t>人社部</w:t>
      </w:r>
      <w:proofErr w:type="gramEnd"/>
      <w:r w:rsidRPr="007D6C51">
        <w:rPr>
          <w:rFonts w:ascii="仿宋_GB2312" w:eastAsia="仿宋_GB2312" w:hAnsi="微软雅黑" w:cs="宋体" w:hint="eastAsia"/>
          <w:color w:val="000000"/>
          <w:kern w:val="0"/>
          <w:sz w:val="32"/>
          <w:szCs w:val="32"/>
        </w:rPr>
        <w:t>发〔2018〕47号）要求和规定，开展居民基本养老保险基金委托投资，实现基金保值增值，提高个人账户养老金水平和基金支付能力；对未开展委托投资、留存在地方各级的居民基本养老保险基金，要严格按规定存银行、买国债，不得违规投资运营。</w:t>
      </w:r>
    </w:p>
    <w:p w14:paraId="42F95418"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建立居民基本养老保险待遇确定和基础养老金正常调整机制是党中央、国务院和省委、省政府部署的重要任务，是基本养老保险制度改革的重要内容，关系到广大城乡居民的切身利益，各级各相关部门要高度重视，坚持尽力而为、量力而行原则，落实兜底线、织密网、建机制的要求，加强组织领导，明确各级政府、集体经济组织和参保居民等各方面的责任。各地要按照本实施意见的要求，确保各项政策落实到位。相关标准和政策报上级人力资源社会保障部门和财政部门备案。要采取多种方式全面准确宣传政策，正确引导社会舆论，让参保居民形成合理的预期。</w:t>
      </w:r>
    </w:p>
    <w:p w14:paraId="721C0458" w14:textId="77777777" w:rsidR="007D6C51" w:rsidRPr="007D6C51" w:rsidRDefault="007D6C51" w:rsidP="007D6C51">
      <w:pPr>
        <w:widowControl/>
        <w:spacing w:line="540" w:lineRule="atLeast"/>
        <w:ind w:firstLine="645"/>
        <w:jc w:val="left"/>
        <w:rPr>
          <w:rFonts w:ascii="微软雅黑" w:eastAsia="微软雅黑" w:hAnsi="微软雅黑" w:cs="宋体" w:hint="eastAsia"/>
          <w:color w:val="333333"/>
          <w:kern w:val="0"/>
          <w:sz w:val="18"/>
          <w:szCs w:val="18"/>
        </w:rPr>
      </w:pPr>
      <w:proofErr w:type="gramStart"/>
      <w:r w:rsidRPr="007D6C51">
        <w:rPr>
          <w:rFonts w:ascii="仿宋_GB2312" w:eastAsia="仿宋_GB2312" w:hAnsi="微软雅黑" w:cs="宋体" w:hint="eastAsia"/>
          <w:color w:val="000000"/>
          <w:kern w:val="0"/>
          <w:sz w:val="32"/>
          <w:szCs w:val="32"/>
        </w:rPr>
        <w:t>本意见自2019年1月1日起</w:t>
      </w:r>
      <w:proofErr w:type="gramEnd"/>
      <w:r w:rsidRPr="007D6C51">
        <w:rPr>
          <w:rFonts w:ascii="仿宋_GB2312" w:eastAsia="仿宋_GB2312" w:hAnsi="微软雅黑" w:cs="宋体" w:hint="eastAsia"/>
          <w:color w:val="000000"/>
          <w:kern w:val="0"/>
          <w:sz w:val="32"/>
          <w:szCs w:val="32"/>
        </w:rPr>
        <w:t>实施，有效期至2023年12月31日。</w:t>
      </w:r>
    </w:p>
    <w:p w14:paraId="37DF85D3" w14:textId="77777777" w:rsidR="007D6C51" w:rsidRPr="007D6C51" w:rsidRDefault="007D6C51" w:rsidP="007D6C51">
      <w:pPr>
        <w:widowControl/>
        <w:spacing w:line="555" w:lineRule="atLeast"/>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lastRenderedPageBreak/>
        <w:t> </w:t>
      </w:r>
    </w:p>
    <w:p w14:paraId="151DD230" w14:textId="77777777" w:rsidR="007D6C51" w:rsidRPr="007D6C51" w:rsidRDefault="007D6C51" w:rsidP="007D6C51">
      <w:pPr>
        <w:widowControl/>
        <w:spacing w:line="555" w:lineRule="atLeast"/>
        <w:jc w:val="left"/>
        <w:rPr>
          <w:rFonts w:ascii="微软雅黑" w:eastAsia="微软雅黑" w:hAnsi="微软雅黑" w:cs="宋体" w:hint="eastAsia"/>
          <w:color w:val="333333"/>
          <w:kern w:val="0"/>
          <w:sz w:val="18"/>
          <w:szCs w:val="18"/>
        </w:rPr>
      </w:pPr>
      <w:r w:rsidRPr="007D6C51">
        <w:rPr>
          <w:rFonts w:ascii="宋体" w:eastAsia="宋体" w:hAnsi="宋体" w:cs="宋体" w:hint="eastAsia"/>
          <w:color w:val="000000"/>
          <w:kern w:val="0"/>
          <w:sz w:val="32"/>
          <w:szCs w:val="32"/>
        </w:rPr>
        <w:t> </w:t>
      </w:r>
    </w:p>
    <w:tbl>
      <w:tblPr>
        <w:tblW w:w="9060" w:type="dxa"/>
        <w:tblCellSpacing w:w="15" w:type="dxa"/>
        <w:tblCellMar>
          <w:left w:w="0" w:type="dxa"/>
          <w:right w:w="0" w:type="dxa"/>
        </w:tblCellMar>
        <w:tblLook w:val="04A0" w:firstRow="1" w:lastRow="0" w:firstColumn="1" w:lastColumn="0" w:noHBand="0" w:noVBand="1"/>
      </w:tblPr>
      <w:tblGrid>
        <w:gridCol w:w="4575"/>
        <w:gridCol w:w="4575"/>
      </w:tblGrid>
      <w:tr w:rsidR="007D6C51" w:rsidRPr="007D6C51" w14:paraId="7E9AF294" w14:textId="77777777" w:rsidTr="007D6C51">
        <w:trPr>
          <w:trHeight w:val="480"/>
          <w:tblCellSpacing w:w="15" w:type="dxa"/>
        </w:trPr>
        <w:tc>
          <w:tcPr>
            <w:tcW w:w="4530" w:type="dxa"/>
            <w:tcBorders>
              <w:top w:val="nil"/>
              <w:left w:val="nil"/>
              <w:bottom w:val="nil"/>
              <w:right w:val="nil"/>
            </w:tcBorders>
            <w:shd w:val="clear" w:color="auto" w:fill="auto"/>
            <w:noWrap/>
            <w:tcMar>
              <w:top w:w="0" w:type="dxa"/>
              <w:left w:w="105" w:type="dxa"/>
              <w:bottom w:w="0" w:type="dxa"/>
              <w:right w:w="105" w:type="dxa"/>
            </w:tcMar>
            <w:vAlign w:val="center"/>
            <w:hideMark/>
          </w:tcPr>
          <w:p w14:paraId="34152972" w14:textId="77777777" w:rsidR="007D6C51" w:rsidRPr="007D6C51" w:rsidRDefault="007D6C51" w:rsidP="007D6C51">
            <w:pPr>
              <w:widowControl/>
              <w:spacing w:line="480" w:lineRule="atLeast"/>
              <w:jc w:val="center"/>
              <w:rPr>
                <w:rFonts w:ascii="宋体" w:eastAsia="宋体" w:hAnsi="宋体" w:cs="宋体" w:hint="eastAsia"/>
                <w:color w:val="4E4E4E"/>
                <w:kern w:val="0"/>
                <w:szCs w:val="21"/>
              </w:rPr>
            </w:pPr>
            <w:r w:rsidRPr="007D6C51">
              <w:rPr>
                <w:rFonts w:ascii="仿宋_GB2312" w:eastAsia="仿宋_GB2312" w:hAnsi="宋体" w:cs="宋体" w:hint="eastAsia"/>
                <w:color w:val="000000"/>
                <w:kern w:val="0"/>
                <w:sz w:val="32"/>
                <w:szCs w:val="32"/>
              </w:rPr>
              <w:t>山东省人力资源和社会保障厅</w:t>
            </w:r>
          </w:p>
        </w:tc>
        <w:tc>
          <w:tcPr>
            <w:tcW w:w="4530" w:type="dxa"/>
            <w:tcBorders>
              <w:top w:val="nil"/>
              <w:left w:val="nil"/>
              <w:bottom w:val="nil"/>
              <w:right w:val="nil"/>
            </w:tcBorders>
            <w:shd w:val="clear" w:color="auto" w:fill="auto"/>
            <w:noWrap/>
            <w:tcMar>
              <w:top w:w="0" w:type="dxa"/>
              <w:left w:w="105" w:type="dxa"/>
              <w:bottom w:w="0" w:type="dxa"/>
              <w:right w:w="105" w:type="dxa"/>
            </w:tcMar>
            <w:vAlign w:val="center"/>
            <w:hideMark/>
          </w:tcPr>
          <w:p w14:paraId="2AE3C21F" w14:textId="77777777" w:rsidR="007D6C51" w:rsidRPr="007D6C51" w:rsidRDefault="007D6C51" w:rsidP="007D6C51">
            <w:pPr>
              <w:widowControl/>
              <w:spacing w:line="480" w:lineRule="atLeast"/>
              <w:jc w:val="center"/>
              <w:rPr>
                <w:rFonts w:ascii="宋体" w:eastAsia="宋体" w:hAnsi="宋体" w:cs="宋体"/>
                <w:color w:val="4E4E4E"/>
                <w:kern w:val="0"/>
                <w:szCs w:val="21"/>
              </w:rPr>
            </w:pPr>
            <w:r w:rsidRPr="007D6C51">
              <w:rPr>
                <w:rFonts w:ascii="仿宋_GB2312" w:eastAsia="仿宋_GB2312" w:hAnsi="宋体" w:cs="宋体" w:hint="eastAsia"/>
                <w:color w:val="000000"/>
                <w:kern w:val="0"/>
                <w:sz w:val="32"/>
                <w:szCs w:val="32"/>
              </w:rPr>
              <w:t>山东省财政厅</w:t>
            </w:r>
          </w:p>
        </w:tc>
      </w:tr>
    </w:tbl>
    <w:p w14:paraId="1959175F" w14:textId="77777777" w:rsidR="007D6C51" w:rsidRPr="007D6C51" w:rsidRDefault="007D6C51" w:rsidP="007D6C51">
      <w:pPr>
        <w:widowControl/>
        <w:spacing w:line="480" w:lineRule="auto"/>
        <w:ind w:firstLine="645"/>
        <w:jc w:val="left"/>
        <w:rPr>
          <w:rFonts w:ascii="微软雅黑" w:eastAsia="微软雅黑" w:hAnsi="微软雅黑" w:cs="宋体"/>
          <w:color w:val="333333"/>
          <w:kern w:val="0"/>
          <w:sz w:val="18"/>
          <w:szCs w:val="18"/>
        </w:rPr>
      </w:pPr>
      <w:r w:rsidRPr="007D6C51">
        <w:rPr>
          <w:rFonts w:ascii="仿宋_GB2312" w:eastAsia="仿宋_GB2312" w:hAnsi="微软雅黑" w:cs="宋体" w:hint="eastAsia"/>
          <w:color w:val="000000"/>
          <w:kern w:val="0"/>
          <w:sz w:val="32"/>
          <w:szCs w:val="32"/>
        </w:rPr>
        <w:t>                              </w:t>
      </w:r>
      <w:r w:rsidRPr="007D6C51">
        <w:rPr>
          <w:rFonts w:ascii="仿宋_GB2312" w:eastAsia="仿宋_GB2312" w:hAnsi="微软雅黑" w:cs="宋体" w:hint="eastAsia"/>
          <w:color w:val="000000"/>
          <w:kern w:val="0"/>
          <w:sz w:val="32"/>
          <w:szCs w:val="32"/>
        </w:rPr>
        <w:t>2018年10月31日</w:t>
      </w:r>
    </w:p>
    <w:p w14:paraId="09E257E1" w14:textId="77777777" w:rsidR="007D6C51" w:rsidRPr="007D6C51" w:rsidRDefault="007D6C51" w:rsidP="007D6C51">
      <w:pPr>
        <w:widowControl/>
        <w:spacing w:line="480" w:lineRule="auto"/>
        <w:ind w:firstLine="630"/>
        <w:jc w:val="left"/>
        <w:rPr>
          <w:rFonts w:ascii="微软雅黑" w:eastAsia="微软雅黑" w:hAnsi="微软雅黑" w:cs="宋体" w:hint="eastAsia"/>
          <w:color w:val="333333"/>
          <w:kern w:val="0"/>
          <w:sz w:val="18"/>
          <w:szCs w:val="18"/>
        </w:rPr>
      </w:pPr>
      <w:r w:rsidRPr="007D6C51">
        <w:rPr>
          <w:rFonts w:ascii="仿宋_GB2312" w:eastAsia="仿宋_GB2312" w:hAnsi="微软雅黑" w:cs="宋体" w:hint="eastAsia"/>
          <w:color w:val="000000"/>
          <w:kern w:val="0"/>
          <w:sz w:val="32"/>
          <w:szCs w:val="32"/>
        </w:rPr>
        <w:t>（此件主动公开）</w:t>
      </w:r>
    </w:p>
    <w:p w14:paraId="271BF50B" w14:textId="77777777" w:rsidR="00364CA0" w:rsidRDefault="00364CA0"/>
    <w:sectPr w:rsidR="00364C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6B6CA" w14:textId="77777777" w:rsidR="0000416F" w:rsidRDefault="0000416F" w:rsidP="007D6C51">
      <w:r>
        <w:separator/>
      </w:r>
    </w:p>
  </w:endnote>
  <w:endnote w:type="continuationSeparator" w:id="0">
    <w:p w14:paraId="53D20935" w14:textId="77777777" w:rsidR="0000416F" w:rsidRDefault="0000416F" w:rsidP="007D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CE088" w14:textId="77777777" w:rsidR="0000416F" w:rsidRDefault="0000416F" w:rsidP="007D6C51">
      <w:r>
        <w:separator/>
      </w:r>
    </w:p>
  </w:footnote>
  <w:footnote w:type="continuationSeparator" w:id="0">
    <w:p w14:paraId="08EE3257" w14:textId="77777777" w:rsidR="0000416F" w:rsidRDefault="0000416F" w:rsidP="007D6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A9"/>
    <w:rsid w:val="0000416F"/>
    <w:rsid w:val="00364CA0"/>
    <w:rsid w:val="007D6C51"/>
    <w:rsid w:val="00933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BEBF02-5476-4382-8F75-E69B8523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C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C51"/>
    <w:rPr>
      <w:sz w:val="18"/>
      <w:szCs w:val="18"/>
    </w:rPr>
  </w:style>
  <w:style w:type="paragraph" w:styleId="a5">
    <w:name w:val="footer"/>
    <w:basedOn w:val="a"/>
    <w:link w:val="a6"/>
    <w:uiPriority w:val="99"/>
    <w:unhideWhenUsed/>
    <w:rsid w:val="007D6C51"/>
    <w:pPr>
      <w:tabs>
        <w:tab w:val="center" w:pos="4153"/>
        <w:tab w:val="right" w:pos="8306"/>
      </w:tabs>
      <w:snapToGrid w:val="0"/>
      <w:jc w:val="left"/>
    </w:pPr>
    <w:rPr>
      <w:sz w:val="18"/>
      <w:szCs w:val="18"/>
    </w:rPr>
  </w:style>
  <w:style w:type="character" w:customStyle="1" w:styleId="a6">
    <w:name w:val="页脚 字符"/>
    <w:basedOn w:val="a0"/>
    <w:link w:val="a5"/>
    <w:uiPriority w:val="99"/>
    <w:rsid w:val="007D6C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686790">
      <w:bodyDiv w:val="1"/>
      <w:marLeft w:val="0"/>
      <w:marRight w:val="0"/>
      <w:marTop w:val="0"/>
      <w:marBottom w:val="0"/>
      <w:divBdr>
        <w:top w:val="none" w:sz="0" w:space="0" w:color="auto"/>
        <w:left w:val="none" w:sz="0" w:space="0" w:color="auto"/>
        <w:bottom w:val="none" w:sz="0" w:space="0" w:color="auto"/>
        <w:right w:val="none" w:sz="0" w:space="0" w:color="auto"/>
      </w:divBdr>
      <w:divsChild>
        <w:div w:id="690186839">
          <w:marLeft w:val="0"/>
          <w:marRight w:val="0"/>
          <w:marTop w:val="0"/>
          <w:marBottom w:val="0"/>
          <w:divBdr>
            <w:top w:val="single" w:sz="6" w:space="0" w:color="ECECEC"/>
            <w:left w:val="single" w:sz="6" w:space="0" w:color="ECECEC"/>
            <w:bottom w:val="single" w:sz="6" w:space="0" w:color="ECECEC"/>
            <w:right w:val="single" w:sz="6" w:space="0" w:color="ECECEC"/>
          </w:divBdr>
        </w:div>
        <w:div w:id="45063535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2018-12-12T02:01:00Z</dcterms:created>
  <dcterms:modified xsi:type="dcterms:W3CDTF">2018-12-12T02:01:00Z</dcterms:modified>
</cp:coreProperties>
</file>