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jc w:val="center"/>
        <w:rPr>
          <w:rFonts w:ascii="微软雅黑" w:hAnsi="微软雅黑" w:eastAsia="微软雅黑" w:cs="微软雅黑"/>
          <w:color w:val="E43333"/>
          <w:sz w:val="36"/>
          <w:szCs w:val="36"/>
        </w:rPr>
      </w:pPr>
      <w:r>
        <w:rPr>
          <w:rFonts w:hint="eastAsia" w:ascii="微软雅黑" w:hAnsi="微软雅黑" w:eastAsia="微软雅黑" w:cs="微软雅黑"/>
          <w:i w:val="0"/>
          <w:caps w:val="0"/>
          <w:color w:val="E43333"/>
          <w:spacing w:val="0"/>
          <w:sz w:val="36"/>
          <w:szCs w:val="36"/>
          <w:bdr w:val="none" w:color="auto" w:sz="0" w:space="0"/>
        </w:rPr>
        <w:t>红花岗区人才政策支持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来源：红花岗政府办   发布日期：2018-04-28 11:29:24  浏览次数：7   文章字号: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大</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中</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lang w:val="en-US" w:eastAsia="zh-CN" w:bidi="ar"/>
        </w:rPr>
        <w:t> </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21"/>
          <w:szCs w:val="21"/>
          <w:u w:val="none"/>
          <w:bdr w:val="none" w:color="auto" w:sz="0" w:space="0"/>
          <w:lang w:val="en-US" w:eastAsia="zh-CN" w:bidi="ar"/>
        </w:rPr>
        <w:instrText xml:space="preserve"> HYPERLINK "http://www.zyhhg.gov.cn/doc/2018/04/28/javascript:void(0);" </w:instrTex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separate"/>
      </w:r>
      <w:r>
        <w:rPr>
          <w:rStyle w:val="5"/>
          <w:rFonts w:hint="eastAsia" w:ascii="宋体" w:hAnsi="宋体" w:eastAsia="宋体" w:cs="宋体"/>
          <w:b w:val="0"/>
          <w:i w:val="0"/>
          <w:caps w:val="0"/>
          <w:color w:val="494949"/>
          <w:spacing w:val="0"/>
          <w:sz w:val="21"/>
          <w:szCs w:val="21"/>
          <w:u w:val="none"/>
          <w:bdr w:val="none" w:color="auto" w:sz="0" w:space="0"/>
        </w:rPr>
        <w:t>小</w:t>
      </w:r>
      <w:r>
        <w:rPr>
          <w:rFonts w:hint="eastAsia" w:ascii="宋体" w:hAnsi="宋体" w:eastAsia="宋体" w:cs="宋体"/>
          <w:b w:val="0"/>
          <w:i w:val="0"/>
          <w:caps w:val="0"/>
          <w:color w:val="494949"/>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1500" w:right="150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"http://www.zyhhg.gov.cn/doc/2018/04/28/108652.shtml" \o "分享到QQ空间"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"http://www.zyhhg.gov.cn/doc/2018/04/28/108652.shtml" \o "分享到新浪微博"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"http://www.zyhhg.gov.cn/doc/2018/04/28/108652.shtml" \o "分享到微信"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494949"/>
          <w:spacing w:val="0"/>
          <w:kern w:val="0"/>
          <w:sz w:val="18"/>
          <w:szCs w:val="18"/>
          <w:u w:val="none"/>
          <w:bdr w:val="none" w:color="auto" w:sz="0" w:space="0"/>
          <w:lang w:val="en-US" w:eastAsia="zh-CN" w:bidi="ar"/>
        </w:rPr>
        <w:instrText xml:space="preserve"> HYPERLINK "http://www.zyhhg.gov.cn/doc/2018/04/28/108652.shtml" \o "分享到QQ好友" </w:instrText>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494949"/>
          <w:spacing w:val="0"/>
          <w:kern w:val="0"/>
          <w:sz w:val="18"/>
          <w:szCs w:val="18"/>
          <w:u w:val="none"/>
          <w:bdr w:val="none" w:color="auto" w:sz="0" w:space="0"/>
          <w:lang w:val="en-US" w:eastAsia="zh-CN" w:bidi="ar"/>
        </w:rPr>
        <w:fldChar w:fldCharType="end"/>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begin"/>
      </w:r>
      <w:r>
        <w:rPr>
          <w:rFonts w:hint="eastAsia" w:ascii="宋体" w:hAnsi="宋体" w:eastAsia="宋体" w:cs="宋体"/>
          <w:b w:val="0"/>
          <w:i w:val="0"/>
          <w:caps w:val="0"/>
          <w:color w:val="333333"/>
          <w:spacing w:val="0"/>
          <w:kern w:val="0"/>
          <w:sz w:val="18"/>
          <w:szCs w:val="18"/>
          <w:u w:val="none"/>
          <w:bdr w:val="none" w:color="auto" w:sz="0" w:space="0"/>
          <w:lang w:val="en-US" w:eastAsia="zh-CN" w:bidi="ar"/>
        </w:rPr>
        <w:instrText xml:space="preserve"> HYPERLINK "http://www.zyhhg.gov.cn/doc/2018/04/28/108652.shtml" </w:instrText>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separate"/>
      </w:r>
      <w:r>
        <w:rPr>
          <w:rFonts w:hint="eastAsia" w:ascii="宋体" w:hAnsi="宋体" w:eastAsia="宋体" w:cs="宋体"/>
          <w:b w:val="0"/>
          <w:i w:val="0"/>
          <w:caps w:val="0"/>
          <w:color w:val="333333"/>
          <w:spacing w:val="0"/>
          <w:kern w:val="0"/>
          <w:sz w:val="18"/>
          <w:szCs w:val="18"/>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四、人才政策支持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（一）根据《 遵义市引进高层次人才绿色通道实施办法（试行）》（遵人领发〔2014〕9号）的规定，凡是引进我市的高层次人才可享受如下服务（全市各级机关、企事业单位、非公企业、社会团体引进市外高层次人才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1、编制管理。确因工作需要引进高层次人才到机关、事业单位工作的，凭《人才绿卡》办理列编手续。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2、职称评(认)定。引进高层次人才需评定专业技术职称的，可按正常程序申报，随年度参加评审。已经具有专业技术职务资格，均予以承认并享受本市同级人员待遇。对具有博士学历学位的高层次人才，在第一个聘期内享受副高级专业技术职务待遇。引进的高层次人才，可根据其学术、技术水平和工作需要，直接申报相应的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3、岗位聘用。引进到事业单位工作的高层次人才，凭《人才绿卡》不受单位岗位总量和最高等级结构比例限制，特设岗位进行聘用。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4、出入境和居留服务。经公安部审核批准的持外国护照入境的海外引进人才及其配偶、未成年子女，可以申请办理 2—5 年多次入境有效访问签证；符合永久居留条件的，可申请外国人永久居留证，作为其在我市的合法身份证件。相关手续可到当地公安机关出入境管理部门办理，永久居留业务公安机关自受理之日起 30 个工作日内办结；2—5年多次入境有效访问签证办理在 3 个工作日内办结。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5、户籍办理。经认定引进的高层次人才，可在其工作地或居住地落户，其配偶、未婚子女及父母可随本人迁移户口，由落户人或接收单位向拟落户地公安机关提出申请，公安机关自受理之日起 10 个工作日内办结。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6、配偶安置。配偶可随调相应单位，享受同城同级待遇。(配偶为公务员身份的可调入同类公务员管理单位，身份为事业人员的可调入本市同类事业单位；配偶无干部身份的可依据情况安排在相应工勤岗位,配偶无干部身份但学历为全日制本科的急需紧缺人才,可简化考试程序聘用为事业人员，配偶为全日制硕士研究生以上学历，可直接考核聘用为事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7、子女入学。按照自愿和就近原则，其子女入学可优先选择市内九年制义务教育学校。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8、医疗保障。引进的高层次人才凭《人才绿卡》可到市卫生局办理高层次人才医疗保健证，凭医疗保健证，可选择市属医院预约就诊。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9、社会保险。引进的高层次人才纳入全市社保体系，凭《人才绿卡》优先办理各项社会保险业务，随到随办。用人单位可为其购买商业性补充保险。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10、科研服务。申报省级以上科技项目时，市科技局应优先推荐；申报市级科技项目时，市科技局应优先立项。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11、项目扶持。支持符合条件的高层次人才申报“百千万人才引进计划”、“15851 人才精英工程”、市管专家等相关人才工程扶持政策。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12、创业扶持。申办或领办企业时，注册登记实行即时承办，限时办结，免收登记费和工本费；优先办理税务登记，免收税务登记证工本费；优先办理各项涉税事宜，并提供预约服务、咨询服务等个性化服务项目。自谋职业、自主创业的，可享受贷款扶持等自主创业的优惠财税支持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13、购车优惠。引进的高层次人才，属于在外留学（含香港、澳门地区）回国服务人员或长期来华定居专家，可购买 1 辆自用国产或进口小汽车，凭其《人才绿卡》、身份证明及购买机动车相关凭证，到公安部门办理机动车注册登记手续，并免征车辆购置税。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（二）根据《遵义市引进高层次人才实施办法（试行）》（遵人领发〔2014〕6号）规定，引进到我市的高层次人才享受的待遇为（全市各级机关、企事业单位、社会团体引进市外高层次人才适用本办法）：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对采取全职引进方式到我市工作，与用人单位签订 5 年以上工作合同或协议的高层次人才，按照以下标准发放人才津补贴。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（1）人才津贴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1.第一类高层次人才，每月发放 1 万元人才津贴；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2.第二类高层次人才，每月发放 4000 元人才津贴；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3.第三类高层次人才，对在县（市、区）以下或企事业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单位工作的，每月发放 1200 元人才津贴；对在市级机关工作的博士，每月发放 300 元人才津贴。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（2）购房补贴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1.第一类高层次人才，提供 100 万元的购房补贴；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2.第二类高层次人才，提供 60 万元的购房补贴；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3.第三类高层次人才，提供 15 万元购房补贴；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4.夫妻双方均为高层次人才，一方为引进，另一方为随迁的，在享受引进人才购房补贴的基础上再增加 5 万元补贴。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对采取柔性引进方式来我市工作的高层次人才，按照以下标准发放租房补贴和生活补贴。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（3）柔性引进高层次人才享受的租房补贴，按人才租房面积乘以其工作所在地公共租赁住房单位面积月租金计算。原则上本办法规定的第一、第二类人才租房面积不低于120 平方米，第三类人才租房面积不低于 80 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（4）柔性引进到我市挂职的各类高层次人才每月发放不少于 3000 元的生活补贴，其他柔性引进人才参照第（一）款的标准，由用人单位根据工作时限和工作内容给予相应的生活补贴。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第一、二、三类人才分别为：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第一类：中国科学院院士、中国工程院院士；</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第二类：国家最高科学技术奖获得者，国家自然科学奖、技术发明奖、科学技术进步一等奖前 2 位完成人，长江学者、国家“千人计划”、国家“万人计划”入选者，国家有突出贡献中青年专家、国家杰出专业技术人才、国家杰出青年科学基金获得者，国家级重点学科、重点实验室、重点工程技术研究中心学术技术带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第三类：具有正高级专业技术职称人才，年龄原则上不超过 50 周岁；具有国家教育部认可的研究生学历博士学位人才，年龄原则上不超过 45 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（三）根据《中共遵义市红花岗区委遵义市红花岗区人民政府关于贯彻落实省市加强人才培养引进加快科技创新的实施意见》（区发〔2013〕10号）文件精神（辖区国有企业可参照本意见执行）：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1、对新引进的“省管专家及以上人才”、“博士及正高职称人才”、“硕士及副高职称人才”和“特殊技能人才”，签订5年以上服务年限合同的，分别一次性给予40万元、30万元、10万元、5万元安家补助和不少于150平方米、100平方米、80平方米、70平方米的周转房，每月分别给予2000元、1000元、600元、300元生活补贴。新引进人才家属随调随迁，并根据本人意愿解决好户口、医疗、子女入学等问题。启动 “人才公寓”建设，全力解决新引进人才的住房问题。鼓励支持有条件的企业自筹资金建设“人才公寓”，专门用于解决引进急需人才住房问题，由区财政按一定比例给予补助，并在规划设计、土地审批、建设等方面给予相关政策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2、对硕士以上学历、副高以上职称的紧缺专业人才，可实行直接考核聘用，不受职数、编制、进人计划等条件限制；对全日制大学本科以上学历的紧缺专业人才，可简化考试程序聘用。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宋体" w:hAnsi="宋体" w:eastAsia="宋体" w:cs="宋体"/>
          <w:b w:val="0"/>
          <w:i w:val="0"/>
          <w:caps w:val="0"/>
          <w:color w:val="000000"/>
          <w:spacing w:val="0"/>
          <w:sz w:val="21"/>
          <w:szCs w:val="21"/>
          <w:bdr w:val="none" w:color="auto" w:sz="0" w:space="0"/>
        </w:rPr>
        <w:t>　　3、凡在我区管理服务期限内的人才，获得国家级、省级、市级科技进步奖的，区级按不低于国家级、省级、市级奖金额度再次给予奖励。为红花岗区经济社会发展作出突出贡献的人才，区人才科技工作领导小组每年认定一、二、三等突出贡献奖，分别一次性给予10万元、5万元、2万元奖励。</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B45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2018-05-22T12:56:44Z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