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800" w:type="dxa"/>
        <w:jc w:val="center"/>
        <w:tblCellSpacing w:w="0" w:type="dxa"/>
        <w:tblInd w:w="-2747" w:type="dxa"/>
        <w:shd w:val="clear" w:color="auto" w:fill="FFFFFF"/>
        <w:tblLayout w:type="fixed"/>
        <w:tblCellMar>
          <w:top w:w="0" w:type="dxa"/>
          <w:left w:w="0" w:type="dxa"/>
          <w:bottom w:w="0" w:type="dxa"/>
          <w:right w:w="0" w:type="dxa"/>
        </w:tblCellMar>
      </w:tblPr>
      <w:tblGrid>
        <w:gridCol w:w="13800"/>
      </w:tblGrid>
      <w:tr>
        <w:tblPrEx>
          <w:shd w:val="clear" w:color="auto" w:fill="FFFFFF"/>
          <w:tblLayout w:type="fixed"/>
          <w:tblCellMar>
            <w:top w:w="0" w:type="dxa"/>
            <w:left w:w="0" w:type="dxa"/>
            <w:bottom w:w="0" w:type="dxa"/>
            <w:right w:w="0" w:type="dxa"/>
          </w:tblCellMar>
        </w:tblPrEx>
        <w:trPr>
          <w:tblCellSpacing w:w="0" w:type="dxa"/>
          <w:jc w:val="center"/>
        </w:trPr>
        <w:tc>
          <w:tcPr>
            <w:tcW w:w="13800" w:type="dxa"/>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80" w:lineRule="atLeast"/>
              <w:ind w:left="0" w:right="0" w:firstLine="0"/>
              <w:jc w:val="center"/>
              <w:rPr>
                <w:rFonts w:hint="eastAsia" w:ascii="宋体" w:hAnsi="宋体" w:eastAsia="宋体" w:cs="宋体"/>
                <w:b/>
                <w:i w:val="0"/>
                <w:caps w:val="0"/>
                <w:color w:val="D20000"/>
                <w:spacing w:val="0"/>
                <w:sz w:val="32"/>
                <w:szCs w:val="32"/>
              </w:rPr>
            </w:pPr>
            <w:bookmarkStart w:id="0" w:name="_GoBack"/>
            <w:r>
              <w:rPr>
                <w:rFonts w:hint="eastAsia" w:ascii="宋体" w:hAnsi="宋体" w:eastAsia="宋体" w:cs="宋体"/>
                <w:b/>
                <w:i w:val="0"/>
                <w:caps w:val="0"/>
                <w:color w:val="D20000"/>
                <w:spacing w:val="0"/>
                <w:kern w:val="0"/>
                <w:sz w:val="32"/>
                <w:szCs w:val="32"/>
                <w:bdr w:val="none" w:color="auto" w:sz="0" w:space="0"/>
                <w:lang w:val="en-US" w:eastAsia="zh-CN" w:bidi="ar"/>
              </w:rPr>
              <w:t>县政府关于印发《睢宁县个体工商户转企业实施意见》的通知</w:t>
            </w:r>
            <w:bookmarkEnd w:id="0"/>
          </w:p>
        </w:tc>
      </w:tr>
      <w:tr>
        <w:tblPrEx>
          <w:shd w:val="clear" w:color="auto" w:fill="FFFFFF"/>
          <w:tblLayout w:type="fixed"/>
          <w:tblCellMar>
            <w:top w:w="0" w:type="dxa"/>
            <w:left w:w="0" w:type="dxa"/>
            <w:bottom w:w="0" w:type="dxa"/>
            <w:right w:w="0" w:type="dxa"/>
          </w:tblCellMar>
        </w:tblPrEx>
        <w:trPr>
          <w:trHeight w:val="390" w:hRule="atLeast"/>
          <w:tblCellSpacing w:w="0" w:type="dxa"/>
          <w:jc w:val="center"/>
        </w:trPr>
        <w:tc>
          <w:tcPr>
            <w:tcW w:w="13800" w:type="dxa"/>
            <w:tcBorders>
              <w:top w:val="single" w:color="EA9B56" w:sz="6" w:space="0"/>
              <w:left w:val="single" w:color="CCCCCC" w:sz="6" w:space="0"/>
              <w:bottom w:val="single" w:color="CCCCCC" w:sz="6" w:space="0"/>
              <w:right w:val="single" w:color="CCCCCC" w:sz="6"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blCellSpacing w:w="0" w:type="dxa"/>
          <w:jc w:val="center"/>
        </w:trPr>
        <w:tc>
          <w:tcPr>
            <w:tcW w:w="13800" w:type="dxa"/>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jc w:val="left"/>
              <w:rPr>
                <w:sz w:val="21"/>
                <w:szCs w:val="21"/>
              </w:rPr>
            </w:pPr>
            <w:r>
              <w:rPr>
                <w:rFonts w:ascii="仿宋_GB2312" w:hAnsi="宋体" w:eastAsia="仿宋_GB2312" w:cs="仿宋_GB2312"/>
                <w:i w:val="0"/>
                <w:caps w:val="0"/>
                <w:color w:val="333333"/>
                <w:spacing w:val="0"/>
                <w:sz w:val="21"/>
                <w:szCs w:val="21"/>
                <w:bdr w:val="none" w:color="auto" w:sz="0" w:space="0"/>
              </w:rPr>
              <w:t>各镇人民政府，县各园区管委会，县各委办局（公司），县各直属单位：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现将《睢宁县个体工商户转企业实施意见》印发给你们，希认真贯彻执行。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right"/>
              <w:rPr>
                <w:sz w:val="21"/>
                <w:szCs w:val="21"/>
              </w:rPr>
            </w:pPr>
            <w:r>
              <w:rPr>
                <w:rFonts w:hint="default" w:ascii="仿宋_GB2312" w:hAnsi="宋体" w:eastAsia="仿宋_GB2312" w:cs="仿宋_GB2312"/>
                <w:i w:val="0"/>
                <w:caps w:val="0"/>
                <w:color w:val="333333"/>
                <w:spacing w:val="0"/>
                <w:sz w:val="21"/>
                <w:szCs w:val="21"/>
                <w:bdr w:val="none" w:color="auto" w:sz="0" w:space="0"/>
              </w:rPr>
              <w:t>睢宁县人民政府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right"/>
              <w:rPr>
                <w:sz w:val="21"/>
                <w:szCs w:val="21"/>
              </w:rPr>
            </w:pPr>
            <w:r>
              <w:rPr>
                <w:rFonts w:hint="default" w:ascii="仿宋_GB2312" w:hAnsi="宋体" w:eastAsia="仿宋_GB2312" w:cs="仿宋_GB2312"/>
                <w:i w:val="0"/>
                <w:caps w:val="0"/>
                <w:color w:val="333333"/>
                <w:spacing w:val="0"/>
                <w:sz w:val="21"/>
                <w:szCs w:val="21"/>
                <w:bdr w:val="none" w:color="auto" w:sz="0" w:space="0"/>
              </w:rPr>
              <w:t>２０１３年８月１日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center"/>
              <w:rPr>
                <w:sz w:val="21"/>
                <w:szCs w:val="21"/>
              </w:rPr>
            </w:pPr>
            <w:r>
              <w:rPr>
                <w:rStyle w:val="4"/>
                <w:rFonts w:hint="default" w:ascii="仿宋_GB2312" w:hAnsi="宋体" w:eastAsia="仿宋_GB2312" w:cs="仿宋_GB2312"/>
                <w:i w:val="0"/>
                <w:caps w:val="0"/>
                <w:color w:val="333333"/>
                <w:spacing w:val="0"/>
                <w:sz w:val="21"/>
                <w:szCs w:val="21"/>
                <w:bdr w:val="none" w:color="auto" w:sz="0" w:space="0"/>
              </w:rPr>
              <w:t>睢宁县个体工商户转企业实施意见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为鼓励和支持具有一定规模的个体工商户转型升级为企业（以下简称“个转企”），推进全县民营经济发展，拓展个体工商户生存和发展空间，支持其做大做强，促进我县经济发展方式转变和产业优化升级，现就加快推进我县“个转企”工作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以科学发展观为指导，以服务民营经济发展为宗旨，以开辟转型升级“绿色通道”、健全完善政策扶持体系为抓手，全力支持具有一定规模的个体工商户转型升级为企业，实现我县民营经济发展上规模、上档次，优化全县经济结构，促进经济又好又快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按照“政府推动、部门联动、主体自愿、分步推进”的原则，坚持“规划一批、引导一批、培育一批、壮大一批”的工作思路，因地制宜、精心设计，切实尊重主体意愿，积极稳妥分步推进。积极支持、鼓励和引导符合企业条件的个体工商户转型升级为企业，提升规模档次，增强市场竞争力，实现向现代企业制度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三、目标任务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根据全县个体工商户实际生产规模和经营状况，确定“个转企”重点对象，建立“个转企”培育后备库，制订政策扶持体系，采取积极有效措施重点引导、分步推进，确保今年全县完成“个转企”达400户，2014年完成600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四、工作重点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符合企业条件、有升级需求的全县所有行业个体工商户均可申请转为企业，重点是：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一）依据法律法规规定应登记为企业的。具体包括：印刷，旅行社，互联网上网服务，境外就业中介，典当，拍卖，二手车交易市场经营，二手车经销及经纪，劳务派遣，汽车供应，汽车品牌经销，汽车总经销，因私出入境中介，报废汽车回收，危险化学品生产、储存、经营，兽药生产、经营，药品生产、批发、经营，医疗器械生产、经营，成品油批发、仓储、零售，农药生产等。目前仍以个体工商户组织形式经营的，限期转型升级为企业，逾期未转型升级为企业的须变更经营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（二）利润较高、发展空间大、有升级需求的重点监管行业。具体包括娱乐场所、住宿、餐饮、桑拿足浴等，应当引导帮助其转型升级为企业。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（三）对于资金数额达到50万以上或者资金数额达到10万以上、雇工8人以上的个体工商户，应当引导其转型升级为企业。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（四）经税务部门核定为一般纳税人的个体工商户，应当引导其转型升级为企业。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五、扶持政策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（一）实施便捷准入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1.县行政服务中心要具体研究“个转企”工作过程中的行政审批服务措施，积极协调各窗口单位，开辟“绿色通道”，建立相关“并联审批”制度，或实行“一表制”审批，切实为“个转企”工作提供优质、高效、便捷的服务。建立信息互通与事前引导工作机制，对投资达到一定规模、预设立为个体工商户的投资人实施重点关注，相关前置部门在进行现场核查时，要积极与工商、财政、国税、地税部门互通，并提前进行政策引导，鼓励其做大做强，促进其向现代化企业方向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2.工商部门设立专窗，负责有关“个转企”事宜的咨询、指导及业务办理。简化办理程序，个体工商户注销登记和企业设立登记可合并办理;对经营范围、经营场所、经营者未发生变化的,原前置审批文件在有效期内的，可在办理工商登记后再办理前置审批文件的变更手续；原个体工商户与转企的设立登记有关档案合并归档，保持主体档案的延续性；工商部门在核发营业执照的同时，为企业提供个体工商户注销核准通知书及企业登记核准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3.环保、卫生、食品药品监管、质监、公安、林业等各前置许可部门，对个体工商户有关前置审批许可仍在有效期内的，要根据《个体工商户转型证明》，在办理有关审批事项时提供便利。“个转企”涉及的审批事项，对原审批事项未发生变化的，凭个体工商户注销核准通知书及企业登记核准通知书，由相关审批部门通过变更直接更换新证或签署旧证延续使用的意见，不得拒办。转型前的个体工商户与转型后的企业之间土地、房屋权属（固定资产）等不动产和动产需划转的，如果投资主体、经营场所、经营范围不变，相关部门凭工商部门出具的注销核准通知书及企业登记核准通知书和相关法律法规要求的必备材料，一般应采取更名变更过户的方式进行产权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（二）税费优惠和政策扶持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1.个体工商户转型为企业后属于小型微利企业（不含个人独资企业、合伙企业）的，减按20%的税率征收企业所得税，其中年应纳税所得额低于6万元（含6万元）的小型微利企业（不含个人独资企业、合伙企业），2015年底前，其所得减按50%计入应纳税所得额，按20%的税率缴纳企业所得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2.对“个转企”后的小微企业中月销售额不超过2万元的增值税小规模纳税人和营业税纳税人，暂免征收增值税和营业税。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3.“个转企”后经认定的国家需要重点扶持的高新技术企业，减按15%的税率征收企业所得税。企业为开发新产品、新技术、新工艺所发生的研究开发费用，在计算企业所得税时可以按规定加计扣除。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4.对按规定确有困难的“个转企”企业，报经地税部门批准后，可予以减免房产税、城镇土地使用税。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5.转型前的个体工商户与转型后的个人独资企业、一人有限责任公司之间土地、房屋权属的划转，如果投资主体未变，免征契税。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6.转为符合产业政策的小型微型企业，在转企当年起3年内免征、第4—5年减半征收地方水利建设基金。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7.转为符合产业政策的小微企业（包括软件企业及集成电路产业、动漫产业、文化产业等），从获利年度起，可按规定享受相应的税收优惠政策。按期纳税有困难并符合税法规定的，可由纳税人提出申请，经审核批准后，可延期缴纳税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8.因“个转企”而发生的证、照、资产登记等变更和换发手续，各相关部门一律免收证照工本费，实行权证“零成本变更”；对“个转企”后的企业符合免征企业注册登记费、年检费和营业执照工本费政策的，免征企业注册登记费、年检费和营业执照工本费。参加企业年检时三年内可免于提交审计报告（法律特殊规定的行业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9.“个转企”后，可享受国家中小企业发展专项资金、省中小科技型企业发展专项引导资金和江苏省地方特色产业中小企业发展基金。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（三）金融支持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1.转型升级为法人企业的，原个体工商户的产值、销售额予以连续。对符合信贷条件的，各金融机构应积极给予贷款支持，合理确定利率和贷款期限，创新还款方式，拓宽抵押担保物范围，同时将其信贷支持情况纳入人民银行中小企业信贷政策评估的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2.对符合国家产业政策和信贷政策要求、发展前景和信用较好但暂时有困难的升级企业，给予优惠贷款利率支持。各相关部门应将符合条件的升级企业纳入中小企业扶持范畴，对其技术改造、技术创新等给予贷款贴息或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（四）财政奖励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1.对新增地方税收超过1万元的转型企业，以转型成功前一年度实缴的增值税、营业税、企业所得税（生产经营所得个人所得税）形成的地方税收为基数，3年内增量部分按80%给予奖励。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2.对个体工商户转型升级为个人独资企业、合伙企业的，每户一次性奖励1000元；转型升级为有限公司的，每户一次性奖励2000元。</w:t>
            </w:r>
            <w:r>
              <w:rPr>
                <w:rFonts w:hint="default" w:ascii="仿宋_GB2312" w:hAnsi="宋体" w:eastAsia="仿宋_GB2312" w:cs="仿宋_GB2312"/>
                <w:i w:val="0"/>
                <w:caps w:val="0"/>
                <w:color w:val="333333"/>
                <w:spacing w:val="0"/>
                <w:sz w:val="21"/>
                <w:szCs w:val="21"/>
                <w:bdr w:val="none" w:color="auto" w:sz="0" w:space="0"/>
              </w:rPr>
              <w:br w:type="textWrapping"/>
            </w:r>
            <w:r>
              <w:rPr>
                <w:rFonts w:hint="default" w:ascii="仿宋_GB2312" w:hAnsi="宋体" w:eastAsia="仿宋_GB2312" w:cs="仿宋_GB2312"/>
                <w:i w:val="0"/>
                <w:caps w:val="0"/>
                <w:color w:val="333333"/>
                <w:spacing w:val="0"/>
                <w:sz w:val="21"/>
                <w:szCs w:val="21"/>
                <w:bdr w:val="none" w:color="auto" w:sz="0" w:space="0"/>
              </w:rPr>
              <w:t>   （五）社保扶持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个体工商户转型升级为企业的，转企后3年内由企业提出申请，从转企当年起，养老、医疗、失业、工伤、生育保险单位缴纳部分可实行三年缓进期。转企之日起三年内维持原状，第四年按全省规定企业职工工资总额的比例参保缴费。原按企业参保缴纳社会保险费的个体工商户转企业的，仍按原办法（比例）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(六）名称保留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1.放宽个体工商户升级为企业的名称预先核准条件，升级企业名称可最大限度地保留原个体工商户字号名称中的字号和行业特点。个体工商户升级登记为个人独资企业、合伙企业的，在不影响其它企业名称权的情况下，允许使用其原名称登记；升级为有限公司的，参照改制企业的规定，允许沿用其原名称加“有限公司”。拟升级企业预先核准名称到期后，有原因无法办理开业登记的，依申请可延长名称预先核准的保留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2.转型企业原获得的驰名商标、著名商标、守合同重信用、消费者满意单位等各种荣誉称号原则上予以延续保留，并作为企业延续后企业信用信息予以认可。转型为企业的，在参与申报著名商标或知名商号时，同等条件下优先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3.对转型升级的企业，符合政府采购条件的，结合县内实际情况，采取预留采购份额、降低门槛、价格扣除、鼓励“个转企”企业联合投标和分包等具体措施促进转型企业发展，并将通过政府采购计划管理、合同管理、报告和公开制度、信息化建设等措施保证该项政策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（七）治理无照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在推进“个转企”工作中，加强对无证照经营综合治理，引导合法经营。依法查处取缔各种存在严重安全隐患、与产业政策不符、制假售假违法行为以及屡查不改的经营户。对符合安全、环保、卫生等条件但暂未申领证照的无证照经营户,降低准入门槛，放宽申报条件，减免相关费用,引导一批具备基本条件并无重大危害的无证照经营户申领证照，转为合法经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六、方法步骤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一）宣传发动阶段（2013月7月至2013年8月）。成立组织，出台扶持政策，开展宣传发动工作。结合产业情况，做好“个转企”对象的调查摸底工作，由“个转企”工作领导小组牵头，工商、国税、地税、人保、商务、环保、卫生、消防等部门协作，建立全县“个转企”培育后备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二）实施推广阶段（2013年９月至2014年10月）。根据目标要求，在全面宣传发动的基础上，组织实施“个转企”工作。将目标任务分解到各镇、各园区，明确“个转企”名单，调整、充实“个转企”培育后备库，进一步掌握“个转企”工作中遇到的实际困难与问题，提出解决意见和建议，制定工作推进计划，调度工作进度，协调解决具体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三）总结考评阶段（2014年11月至2014年12月）。对各有关单位的工作任务完成情况进行督查、考核，进一步完善工作机制，推进各项工作的落实，并对全县“个转企”工作进行总结提升，确保两年工作计划圆满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七、工作要求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一）提高认识，加强领导。为加强对“个转企”工作的领导，县政府成立“个转企”工作领导小组，由县政府副县长庄善忠任组长，县工商局、发改委、行政服务中心、财政局、统计局、国土局、中小企业局、金融办、国税局、地税局、药监局、环保局、人保局、房产处、公安局、卫生局、林业局、商务局、消防大队、人民银行等部门有关负责人为成员。领导小组下设办公室，办公室设在县工商局，负责领导小组日常工作。各镇、各园区及相关职能部门要充分认识“个转企”是实现经济可持续发展的迫切需要，主动作为，全力推进，努力为加快“个转企”营造公平、便捷、高效的外部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二）强化宣传，积极引导。充分利用网络、电视、广播、报纸等媒体，开展积极、有效的宣传。重点宣传政府扶持企业的相关政策，特别突出企业在风险承担、用地用工、融资贷款等方面明显的比较优势，增强符合条件的个体工商户的意愿和主动性。及时总结并大力宣传转型成功的先进经验，坚定个体工商户转企的信心和决心。各新闻媒体要积极发挥舆论引导作用，切实营造有利于“个转企”工作的良好社会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三）强化沟通，合力推进。“个转企”工作涉及面广、政策性强，县工商、国税、地税、人保、统计等部门要及时开展相应的帮扶、引导、培育等工作，各有关部门要抓好政策落实，优化服务举措，为“个转企”提供便捷、高效服务，减轻其负担。各镇、各园区及相关职能部门要主动作为，密切配合，协同推进，促进个体工商户向企业平稳转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四）监管规范，有序发展。县工商、国税、地税、环保、卫生、药监等相关职能部门要加强对个体工商户转为企业的监管，严格按照规定给予政策优惠，对经核查后不符合条件的要及时取消其享受优惠政策的资格。要切实增强个体工商户转型升级的主动性，为民营经济健康发展创造宽松的经营环境，确保“个转企”工作取得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抄送：县委各部委办，县人大办公室，县政协办公室，县法院，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县检察院，县人武部。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20" w:lineRule="atLeast"/>
              <w:ind w:left="0" w:right="0" w:firstLine="420"/>
              <w:jc w:val="both"/>
              <w:rPr>
                <w:sz w:val="21"/>
                <w:szCs w:val="21"/>
              </w:rPr>
            </w:pPr>
            <w:r>
              <w:rPr>
                <w:rFonts w:hint="default" w:ascii="仿宋_GB2312" w:hAnsi="宋体" w:eastAsia="仿宋_GB2312" w:cs="仿宋_GB2312"/>
                <w:i w:val="0"/>
                <w:caps w:val="0"/>
                <w:color w:val="333333"/>
                <w:spacing w:val="0"/>
                <w:sz w:val="21"/>
                <w:szCs w:val="21"/>
                <w:bdr w:val="none" w:color="auto" w:sz="0" w:space="0"/>
              </w:rPr>
              <w:t>睢宁县人民政府办公室             2013年8月1日印发</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黑体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11E56"/>
    <w:rsid w:val="2D211E56"/>
    <w:rsid w:val="3F945842"/>
    <w:rsid w:val="4F64657A"/>
    <w:rsid w:val="533D3F67"/>
    <w:rsid w:val="5DEE684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98</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2018-06-08T02:02:00Z</dcterms:created>
  <dc:creator>栾晓琴</dc:creator>
  <cp:lastModifiedBy>栾晓琴</cp:lastModifiedBy>
  <dcterms:modified xsi:type="dcterms:W3CDTF">2018-06-08T03:41:24Z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