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246" w:rsidRPr="00381246" w:rsidRDefault="00381246" w:rsidP="00381246">
      <w:pPr>
        <w:widowControl/>
        <w:shd w:val="clear" w:color="auto" w:fill="FFFFFF"/>
        <w:jc w:val="center"/>
        <w:outlineLvl w:val="0"/>
        <w:rPr>
          <w:rFonts w:ascii="Arial" w:eastAsia="宋体" w:hAnsi="Arial" w:cs="Arial"/>
          <w:b/>
          <w:bCs/>
          <w:color w:val="DE0C03"/>
          <w:kern w:val="36"/>
          <w:sz w:val="36"/>
          <w:szCs w:val="36"/>
        </w:rPr>
      </w:pPr>
      <w:bookmarkStart w:id="0" w:name="_GoBack"/>
      <w:r w:rsidRPr="00381246">
        <w:rPr>
          <w:rFonts w:ascii="Arial" w:eastAsia="宋体" w:hAnsi="Arial" w:cs="Arial"/>
          <w:b/>
          <w:bCs/>
          <w:color w:val="DE0C03"/>
          <w:kern w:val="36"/>
          <w:sz w:val="36"/>
          <w:szCs w:val="36"/>
        </w:rPr>
        <w:t>关于扶持农业产业化龙头企业发展的若干意见</w:t>
      </w:r>
      <w:bookmarkEnd w:id="0"/>
    </w:p>
    <w:p w:rsidR="00381246" w:rsidRPr="00381246" w:rsidRDefault="00381246" w:rsidP="00381246">
      <w:pPr>
        <w:widowControl/>
        <w:shd w:val="clear" w:color="auto" w:fill="FFFFFF"/>
        <w:spacing w:line="360" w:lineRule="atLeast"/>
        <w:jc w:val="left"/>
        <w:rPr>
          <w:rFonts w:ascii="Arial" w:eastAsia="宋体" w:hAnsi="Arial" w:cs="Arial"/>
          <w:color w:val="333333"/>
          <w:kern w:val="0"/>
          <w:szCs w:val="21"/>
        </w:rPr>
      </w:pPr>
      <w:r w:rsidRPr="00381246">
        <w:rPr>
          <w:rFonts w:ascii="Arial" w:eastAsia="宋体" w:hAnsi="Arial" w:cs="Arial"/>
          <w:color w:val="333333"/>
          <w:kern w:val="0"/>
          <w:szCs w:val="21"/>
        </w:rPr>
        <w:t>各县</w:t>
      </w:r>
      <w:r w:rsidRPr="00381246">
        <w:rPr>
          <w:rFonts w:ascii="Arial" w:eastAsia="宋体" w:hAnsi="Arial" w:cs="Arial"/>
          <w:color w:val="333333"/>
          <w:kern w:val="0"/>
          <w:szCs w:val="21"/>
        </w:rPr>
        <w:t>(</w:t>
      </w:r>
      <w:r w:rsidRPr="00381246">
        <w:rPr>
          <w:rFonts w:ascii="Arial" w:eastAsia="宋体" w:hAnsi="Arial" w:cs="Arial"/>
          <w:color w:val="333333"/>
          <w:kern w:val="0"/>
          <w:szCs w:val="21"/>
        </w:rPr>
        <w:t>市、区</w:t>
      </w:r>
      <w:r w:rsidRPr="00381246">
        <w:rPr>
          <w:rFonts w:ascii="Arial" w:eastAsia="宋体" w:hAnsi="Arial" w:cs="Arial"/>
          <w:color w:val="333333"/>
          <w:kern w:val="0"/>
          <w:szCs w:val="21"/>
        </w:rPr>
        <w:t>)</w:t>
      </w:r>
      <w:r w:rsidRPr="00381246">
        <w:rPr>
          <w:rFonts w:ascii="Arial" w:eastAsia="宋体" w:hAnsi="Arial" w:cs="Arial"/>
          <w:color w:val="333333"/>
          <w:kern w:val="0"/>
          <w:szCs w:val="21"/>
        </w:rPr>
        <w:t>人民政府，市政府各部门：</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加快农业产业化龙头企业发展，是推进农业产业化经营、发展现代农业的关键环节，是繁荣农村经济、促进农民增收的重要途径。近年来，我市采取了一系列措施，加快农业产业化龙头企业发展，推进农业产业化经营。全市已有农业企业</w:t>
      </w:r>
      <w:r w:rsidRPr="00381246">
        <w:rPr>
          <w:rFonts w:ascii="Arial" w:eastAsia="宋体" w:hAnsi="Arial" w:cs="Arial"/>
          <w:color w:val="333333"/>
          <w:kern w:val="0"/>
          <w:szCs w:val="21"/>
        </w:rPr>
        <w:t>2216</w:t>
      </w:r>
      <w:r w:rsidRPr="00381246">
        <w:rPr>
          <w:rFonts w:ascii="Arial" w:eastAsia="宋体" w:hAnsi="Arial" w:cs="Arial"/>
          <w:color w:val="333333"/>
          <w:kern w:val="0"/>
          <w:szCs w:val="21"/>
        </w:rPr>
        <w:t>家，其中市级以上龙头企业</w:t>
      </w:r>
      <w:r w:rsidRPr="00381246">
        <w:rPr>
          <w:rFonts w:ascii="Arial" w:eastAsia="宋体" w:hAnsi="Arial" w:cs="Arial"/>
          <w:color w:val="333333"/>
          <w:kern w:val="0"/>
          <w:szCs w:val="21"/>
        </w:rPr>
        <w:t>129</w:t>
      </w:r>
      <w:r w:rsidRPr="00381246">
        <w:rPr>
          <w:rFonts w:ascii="Arial" w:eastAsia="宋体" w:hAnsi="Arial" w:cs="Arial"/>
          <w:color w:val="333333"/>
          <w:kern w:val="0"/>
          <w:szCs w:val="21"/>
        </w:rPr>
        <w:t>家、规模以上农业企业</w:t>
      </w:r>
      <w:r w:rsidRPr="00381246">
        <w:rPr>
          <w:rFonts w:ascii="Arial" w:eastAsia="宋体" w:hAnsi="Arial" w:cs="Arial"/>
          <w:color w:val="333333"/>
          <w:kern w:val="0"/>
          <w:szCs w:val="21"/>
        </w:rPr>
        <w:t>254</w:t>
      </w:r>
      <w:r w:rsidRPr="00381246">
        <w:rPr>
          <w:rFonts w:ascii="Arial" w:eastAsia="宋体" w:hAnsi="Arial" w:cs="Arial"/>
          <w:color w:val="333333"/>
          <w:kern w:val="0"/>
          <w:szCs w:val="21"/>
        </w:rPr>
        <w:t>家。农业龙头企业的兴起，加速了农业结构调整，拓宽了农民增收、农业增效渠道。但是，也存在一些突出问题，主要是：龙头企业数量少、规模小，辐射带动能力不强；技术创新能力不高；市场竞争能力弱；农产品品牌效益低；融资渠道不畅；龙头企业与农户之间的利益联结机制不够健全。为进一步发挥农业产业化龙头企业在发展现代农业、繁荣农村经济、促进农民增收和建设社会主义新农村中的重要作用，根据中央、省有关文件精神，现就扶持我市农业产业化龙头企业的发展，提出以下意见：</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一、总体要求和工作目标　</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w:t>
      </w:r>
      <w:r w:rsidRPr="00381246">
        <w:rPr>
          <w:rFonts w:ascii="Arial" w:eastAsia="宋体" w:hAnsi="Arial" w:cs="Arial"/>
          <w:color w:val="333333"/>
          <w:kern w:val="0"/>
          <w:szCs w:val="21"/>
        </w:rPr>
        <w:t>、总体要求。以邓小平理论和</w:t>
      </w:r>
      <w:r w:rsidRPr="00381246">
        <w:rPr>
          <w:rFonts w:ascii="Arial" w:eastAsia="宋体" w:hAnsi="Arial" w:cs="Arial"/>
          <w:color w:val="333333"/>
          <w:kern w:val="0"/>
          <w:szCs w:val="21"/>
        </w:rPr>
        <w:t>“</w:t>
      </w:r>
      <w:r w:rsidRPr="00381246">
        <w:rPr>
          <w:rFonts w:ascii="Arial" w:eastAsia="宋体" w:hAnsi="Arial" w:cs="Arial"/>
          <w:color w:val="333333"/>
          <w:kern w:val="0"/>
          <w:szCs w:val="21"/>
        </w:rPr>
        <w:t>三个代表</w:t>
      </w:r>
      <w:r w:rsidRPr="00381246">
        <w:rPr>
          <w:rFonts w:ascii="Arial" w:eastAsia="宋体" w:hAnsi="Arial" w:cs="Arial"/>
          <w:color w:val="333333"/>
          <w:kern w:val="0"/>
          <w:szCs w:val="21"/>
        </w:rPr>
        <w:t>”</w:t>
      </w:r>
      <w:r w:rsidRPr="00381246">
        <w:rPr>
          <w:rFonts w:ascii="Arial" w:eastAsia="宋体" w:hAnsi="Arial" w:cs="Arial"/>
          <w:color w:val="333333"/>
          <w:kern w:val="0"/>
          <w:szCs w:val="21"/>
        </w:rPr>
        <w:t>重要思想为指导，围绕农业增效、农民增收和农产品竞争力增强目标，以科学发展观为统领，以培育壮大龙头企业为关键，在政策、资金和服务上不断加大对农业龙头企业的扶持力度，进一步提升农产品加工企业的技术档次和产品质量，提高农产品精深加工的比例和水平，建立龙头企业与农户紧密相联的利益联结机制，围绕优势产品和产业，培育一批产业关联度大、技术装备水平高、市场竞争力和带动力强的龙头企业，扎实推进农业产业化经营，为发展现代农业、建设社会主义新农村奠定坚实基础，提供强大动力。</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w:t>
      </w:r>
      <w:r w:rsidRPr="00381246">
        <w:rPr>
          <w:rFonts w:ascii="Arial" w:eastAsia="宋体" w:hAnsi="Arial" w:cs="Arial"/>
          <w:color w:val="333333"/>
          <w:kern w:val="0"/>
          <w:szCs w:val="21"/>
        </w:rPr>
        <w:t>、工作目标。力争通过</w:t>
      </w:r>
      <w:r w:rsidRPr="00381246">
        <w:rPr>
          <w:rFonts w:ascii="Arial" w:eastAsia="宋体" w:hAnsi="Arial" w:cs="Arial"/>
          <w:color w:val="333333"/>
          <w:kern w:val="0"/>
          <w:szCs w:val="21"/>
        </w:rPr>
        <w:t>5</w:t>
      </w:r>
      <w:r w:rsidRPr="00381246">
        <w:rPr>
          <w:rFonts w:ascii="Arial" w:eastAsia="宋体" w:hAnsi="Arial" w:cs="Arial"/>
          <w:color w:val="333333"/>
          <w:kern w:val="0"/>
          <w:szCs w:val="21"/>
        </w:rPr>
        <w:t>年努力，使全市农业企业发展到</w:t>
      </w:r>
      <w:r w:rsidRPr="00381246">
        <w:rPr>
          <w:rFonts w:ascii="Arial" w:eastAsia="宋体" w:hAnsi="Arial" w:cs="Arial"/>
          <w:color w:val="333333"/>
          <w:kern w:val="0"/>
          <w:szCs w:val="21"/>
        </w:rPr>
        <w:t>4000</w:t>
      </w:r>
      <w:r w:rsidRPr="00381246">
        <w:rPr>
          <w:rFonts w:ascii="Arial" w:eastAsia="宋体" w:hAnsi="Arial" w:cs="Arial"/>
          <w:color w:val="333333"/>
          <w:kern w:val="0"/>
          <w:szCs w:val="21"/>
        </w:rPr>
        <w:t>家以上，规模以上农业企业发展到</w:t>
      </w:r>
      <w:r w:rsidRPr="00381246">
        <w:rPr>
          <w:rFonts w:ascii="Arial" w:eastAsia="宋体" w:hAnsi="Arial" w:cs="Arial"/>
          <w:color w:val="333333"/>
          <w:kern w:val="0"/>
          <w:szCs w:val="21"/>
        </w:rPr>
        <w:t>400</w:t>
      </w:r>
      <w:r w:rsidRPr="00381246">
        <w:rPr>
          <w:rFonts w:ascii="Arial" w:eastAsia="宋体" w:hAnsi="Arial" w:cs="Arial"/>
          <w:color w:val="333333"/>
          <w:kern w:val="0"/>
          <w:szCs w:val="21"/>
        </w:rPr>
        <w:t>家以上。</w:t>
      </w:r>
      <w:r w:rsidRPr="00381246">
        <w:rPr>
          <w:rFonts w:ascii="Arial" w:eastAsia="宋体" w:hAnsi="Arial" w:cs="Arial"/>
          <w:color w:val="333333"/>
          <w:kern w:val="0"/>
          <w:szCs w:val="21"/>
        </w:rPr>
        <w:t>2007</w:t>
      </w:r>
      <w:r w:rsidRPr="00381246">
        <w:rPr>
          <w:rFonts w:ascii="Arial" w:eastAsia="宋体" w:hAnsi="Arial" w:cs="Arial"/>
          <w:color w:val="333333"/>
          <w:kern w:val="0"/>
          <w:szCs w:val="21"/>
        </w:rPr>
        <w:t>年，力争新增国家级龙头企业</w:t>
      </w:r>
      <w:r w:rsidRPr="00381246">
        <w:rPr>
          <w:rFonts w:ascii="Arial" w:eastAsia="宋体" w:hAnsi="Arial" w:cs="Arial"/>
          <w:color w:val="333333"/>
          <w:kern w:val="0"/>
          <w:szCs w:val="21"/>
        </w:rPr>
        <w:t>1</w:t>
      </w:r>
      <w:r w:rsidRPr="00381246">
        <w:rPr>
          <w:rFonts w:ascii="Arial" w:eastAsia="宋体" w:hAnsi="Arial" w:cs="Arial"/>
          <w:color w:val="333333"/>
          <w:kern w:val="0"/>
          <w:szCs w:val="21"/>
        </w:rPr>
        <w:t>家、省级</w:t>
      </w:r>
      <w:r w:rsidRPr="00381246">
        <w:rPr>
          <w:rFonts w:ascii="Arial" w:eastAsia="宋体" w:hAnsi="Arial" w:cs="Arial"/>
          <w:color w:val="333333"/>
          <w:kern w:val="0"/>
          <w:szCs w:val="21"/>
        </w:rPr>
        <w:t>10</w:t>
      </w:r>
      <w:r w:rsidRPr="00381246">
        <w:rPr>
          <w:rFonts w:ascii="Arial" w:eastAsia="宋体" w:hAnsi="Arial" w:cs="Arial"/>
          <w:color w:val="333333"/>
          <w:kern w:val="0"/>
          <w:szCs w:val="21"/>
        </w:rPr>
        <w:t>家、市级</w:t>
      </w:r>
      <w:r w:rsidRPr="00381246">
        <w:rPr>
          <w:rFonts w:ascii="Arial" w:eastAsia="宋体" w:hAnsi="Arial" w:cs="Arial"/>
          <w:color w:val="333333"/>
          <w:kern w:val="0"/>
          <w:szCs w:val="21"/>
        </w:rPr>
        <w:t>40</w:t>
      </w:r>
      <w:r w:rsidRPr="00381246">
        <w:rPr>
          <w:rFonts w:ascii="Arial" w:eastAsia="宋体" w:hAnsi="Arial" w:cs="Arial"/>
          <w:color w:val="333333"/>
          <w:kern w:val="0"/>
          <w:szCs w:val="21"/>
        </w:rPr>
        <w:t>家；全市销售收入</w:t>
      </w:r>
      <w:r w:rsidRPr="00381246">
        <w:rPr>
          <w:rFonts w:ascii="Arial" w:eastAsia="宋体" w:hAnsi="Arial" w:cs="Arial"/>
          <w:color w:val="333333"/>
          <w:kern w:val="0"/>
          <w:szCs w:val="21"/>
        </w:rPr>
        <w:t>10</w:t>
      </w:r>
      <w:r w:rsidRPr="00381246">
        <w:rPr>
          <w:rFonts w:ascii="Arial" w:eastAsia="宋体" w:hAnsi="Arial" w:cs="Arial"/>
          <w:color w:val="333333"/>
          <w:kern w:val="0"/>
          <w:szCs w:val="21"/>
        </w:rPr>
        <w:t>亿元以上的龙头企业达到</w:t>
      </w:r>
      <w:r w:rsidRPr="00381246">
        <w:rPr>
          <w:rFonts w:ascii="Arial" w:eastAsia="宋体" w:hAnsi="Arial" w:cs="Arial"/>
          <w:color w:val="333333"/>
          <w:kern w:val="0"/>
          <w:szCs w:val="21"/>
        </w:rPr>
        <w:t>1</w:t>
      </w:r>
      <w:r w:rsidRPr="00381246">
        <w:rPr>
          <w:rFonts w:ascii="Arial" w:eastAsia="宋体" w:hAnsi="Arial" w:cs="Arial"/>
          <w:color w:val="333333"/>
          <w:kern w:val="0"/>
          <w:szCs w:val="21"/>
        </w:rPr>
        <w:t>家，亿元以上的</w:t>
      </w:r>
      <w:r w:rsidRPr="00381246">
        <w:rPr>
          <w:rFonts w:ascii="Arial" w:eastAsia="宋体" w:hAnsi="Arial" w:cs="Arial"/>
          <w:color w:val="333333"/>
          <w:kern w:val="0"/>
          <w:szCs w:val="21"/>
        </w:rPr>
        <w:t>10</w:t>
      </w:r>
      <w:r w:rsidRPr="00381246">
        <w:rPr>
          <w:rFonts w:ascii="Arial" w:eastAsia="宋体" w:hAnsi="Arial" w:cs="Arial"/>
          <w:color w:val="333333"/>
          <w:kern w:val="0"/>
          <w:szCs w:val="21"/>
        </w:rPr>
        <w:t>家。</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二、提升龙头企业综合竞争力</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w:t>
      </w:r>
      <w:r w:rsidRPr="00381246">
        <w:rPr>
          <w:rFonts w:ascii="Arial" w:eastAsia="宋体" w:hAnsi="Arial" w:cs="Arial"/>
          <w:color w:val="333333"/>
          <w:kern w:val="0"/>
          <w:szCs w:val="21"/>
        </w:rPr>
        <w:t>、引导各类资本向龙头企业集中。围绕主导产业和特色产业，鼓励和引导民间资本、工商资本和境外资本等各类资本参与农业产业化经营，兴办龙头企业，不断壮大企业规模和实力。</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4</w:t>
      </w:r>
      <w:r w:rsidRPr="00381246">
        <w:rPr>
          <w:rFonts w:ascii="Arial" w:eastAsia="宋体" w:hAnsi="Arial" w:cs="Arial"/>
          <w:color w:val="333333"/>
          <w:kern w:val="0"/>
          <w:szCs w:val="21"/>
        </w:rPr>
        <w:t>、推进龙头企业自主创新。鼓励龙头企业与高等院校、科研院所实行产学研结合，在同等条件下对龙头企业申请科技研发经费的项目优先立项。积极扶持龙头企业进行技术改造、技术创新，加大科技三项费用、重点技改项目补助对龙头企业技术创新的扶持力度；鼓励、支持龙头企业申报高新技术企业、高新技术产品、重点新产品，优先帮助符合</w:t>
      </w:r>
      <w:r w:rsidRPr="00381246">
        <w:rPr>
          <w:rFonts w:ascii="Arial" w:eastAsia="宋体" w:hAnsi="Arial" w:cs="Arial"/>
          <w:color w:val="333333"/>
          <w:kern w:val="0"/>
          <w:szCs w:val="21"/>
        </w:rPr>
        <w:lastRenderedPageBreak/>
        <w:t>条件的龙头企业申报大型科技攻关项目。帮助龙头企业引进农业科技新成果和高新技术，改进生产工艺，提高农产品及其加工品的科技含量和市场竞争力。支持鼓励龙头企业组建研发机构。</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5</w:t>
      </w:r>
      <w:r w:rsidRPr="00381246">
        <w:rPr>
          <w:rFonts w:ascii="Arial" w:eastAsia="宋体" w:hAnsi="Arial" w:cs="Arial"/>
          <w:color w:val="333333"/>
          <w:kern w:val="0"/>
          <w:szCs w:val="21"/>
        </w:rPr>
        <w:t>、推进龙头企业管理创新。开展龙头企业负责人培训，帮助家族式管理的龙头企业，建立以企业法人治理机构为主体，以有限责任为核心、以专家经营为特征的现代企业制度。结合实施金蓝领工程、阳光工程等培训计划，开展龙头企业职工培训；帮助龙头企业吸收和培养专业人才。帮助企业引进、运用国际标准和国外先进标准，把国内、国际农产品质量标准的具体技术要求推行到农产品的初级生产中，实现农产品及其加工品的全程标准化；引导企业采用现代营销技术和手段，建立健全市场预测体系，完善市场反馈系统，实现按需生产。加强信用管理，引导龙头企业开发信用资源，提升信用等级。</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6</w:t>
      </w:r>
      <w:r w:rsidRPr="00381246">
        <w:rPr>
          <w:rFonts w:ascii="Arial" w:eastAsia="宋体" w:hAnsi="Arial" w:cs="Arial"/>
          <w:color w:val="333333"/>
          <w:kern w:val="0"/>
          <w:szCs w:val="21"/>
        </w:rPr>
        <w:t>、实施龙头企业品牌战略。鼓励农业企业申报无公害农产品、绿色食品、有机食品和名牌产品，对获绿色（有机）食品、中国驰名商标、中国名牌产品、国家地理标志产品或江西省著名商标认证（定）且产品销售收入达到一定水平的农业企业给予适当奖励。</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7</w:t>
      </w:r>
      <w:r w:rsidRPr="00381246">
        <w:rPr>
          <w:rFonts w:ascii="Arial" w:eastAsia="宋体" w:hAnsi="Arial" w:cs="Arial"/>
          <w:color w:val="333333"/>
          <w:kern w:val="0"/>
          <w:szCs w:val="21"/>
        </w:rPr>
        <w:t>、引导龙头企业带动农民增收。龙头企业要切实履行带动农民增收的社会责任。通过开展定向投入、定向服务和定向收购等方式，签订合同、返还利润、土地使用权入股等形式，积极为农民提供良种、技术、资金、销售、信息等产前、产中和产后服务，大力发展</w:t>
      </w:r>
      <w:r w:rsidRPr="00381246">
        <w:rPr>
          <w:rFonts w:ascii="Arial" w:eastAsia="宋体" w:hAnsi="Arial" w:cs="Arial"/>
          <w:color w:val="333333"/>
          <w:kern w:val="0"/>
          <w:szCs w:val="21"/>
        </w:rPr>
        <w:t>“</w:t>
      </w:r>
      <w:r w:rsidRPr="00381246">
        <w:rPr>
          <w:rFonts w:ascii="Arial" w:eastAsia="宋体" w:hAnsi="Arial" w:cs="Arial"/>
          <w:color w:val="333333"/>
          <w:kern w:val="0"/>
          <w:szCs w:val="21"/>
        </w:rPr>
        <w:t>订单农业</w:t>
      </w:r>
      <w:r w:rsidRPr="00381246">
        <w:rPr>
          <w:rFonts w:ascii="Arial" w:eastAsia="宋体" w:hAnsi="Arial" w:cs="Arial"/>
          <w:color w:val="333333"/>
          <w:kern w:val="0"/>
          <w:szCs w:val="21"/>
        </w:rPr>
        <w:t>”</w:t>
      </w:r>
      <w:r w:rsidRPr="00381246">
        <w:rPr>
          <w:rFonts w:ascii="Arial" w:eastAsia="宋体" w:hAnsi="Arial" w:cs="Arial"/>
          <w:color w:val="333333"/>
          <w:kern w:val="0"/>
          <w:szCs w:val="21"/>
        </w:rPr>
        <w:t>，不断完善与农民利益共享、风险共担的利益联结机制，扶农帮农，让利于农。龙头企业和农户都要强化契约意识，提高诚信程度，严格履行合同。积极建立行业协会，协调同业利益关系。大力支持创办农民专业合作社等农村互助性经济组织，巩固与农民的合作关系，谋求企业经济效益和社会效益最大化。对带动农户达到一定规模、带动增收达到一定水平的龙头企业进行表彰、奖励。</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三、加大财政扶持力度</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8</w:t>
      </w:r>
      <w:r w:rsidRPr="00381246">
        <w:rPr>
          <w:rFonts w:ascii="Arial" w:eastAsia="宋体" w:hAnsi="Arial" w:cs="Arial"/>
          <w:color w:val="333333"/>
          <w:kern w:val="0"/>
          <w:szCs w:val="21"/>
        </w:rPr>
        <w:t>、市财政加大对龙头企业的扶持力度。市本级每年安排农业发展资金，重点用于市级以上龙头企业贷款贴息或担保，扶持龙头企业技术创新、打造品牌、市场信息化建设、标准化基地建设、</w:t>
      </w:r>
      <w:r w:rsidRPr="00381246">
        <w:rPr>
          <w:rFonts w:ascii="Arial" w:eastAsia="宋体" w:hAnsi="Arial" w:cs="Arial"/>
          <w:color w:val="333333"/>
          <w:kern w:val="0"/>
          <w:szCs w:val="21"/>
        </w:rPr>
        <w:t>“</w:t>
      </w:r>
      <w:r w:rsidRPr="00381246">
        <w:rPr>
          <w:rFonts w:ascii="Arial" w:eastAsia="宋体" w:hAnsi="Arial" w:cs="Arial"/>
          <w:color w:val="333333"/>
          <w:kern w:val="0"/>
          <w:szCs w:val="21"/>
        </w:rPr>
        <w:t>一村一品</w:t>
      </w:r>
      <w:r w:rsidRPr="00381246">
        <w:rPr>
          <w:rFonts w:ascii="Arial" w:eastAsia="宋体" w:hAnsi="Arial" w:cs="Arial"/>
          <w:color w:val="333333"/>
          <w:kern w:val="0"/>
          <w:szCs w:val="21"/>
        </w:rPr>
        <w:t>”</w:t>
      </w:r>
      <w:r w:rsidRPr="00381246">
        <w:rPr>
          <w:rFonts w:ascii="Arial" w:eastAsia="宋体" w:hAnsi="Arial" w:cs="Arial"/>
          <w:color w:val="333333"/>
          <w:kern w:val="0"/>
          <w:szCs w:val="21"/>
        </w:rPr>
        <w:t>和农民专业合作社示范；重点支持与农户形成产供销利益联结机制，切实带动本市农民增收的龙头企业发展。整合财政支农资金，集中扶持重点龙头企业和优势产业重点项目。加强对财政扶持的农业产业化项目的管理，对已实施的项目，市有关部门要加强跟踪服务，开展绩效评估，并根据评估情况，及时调整下年度的扶持力度和方向。</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9</w:t>
      </w:r>
      <w:r w:rsidRPr="00381246">
        <w:rPr>
          <w:rFonts w:ascii="Arial" w:eastAsia="宋体" w:hAnsi="Arial" w:cs="Arial"/>
          <w:color w:val="333333"/>
          <w:kern w:val="0"/>
          <w:szCs w:val="21"/>
        </w:rPr>
        <w:t>、</w:t>
      </w:r>
      <w:proofErr w:type="gramStart"/>
      <w:r w:rsidRPr="00381246">
        <w:rPr>
          <w:rFonts w:ascii="Arial" w:eastAsia="宋体" w:hAnsi="Arial" w:cs="Arial"/>
          <w:color w:val="333333"/>
          <w:kern w:val="0"/>
          <w:szCs w:val="21"/>
        </w:rPr>
        <w:t>市发改委</w:t>
      </w:r>
      <w:proofErr w:type="gramEnd"/>
      <w:r w:rsidRPr="00381246">
        <w:rPr>
          <w:rFonts w:ascii="Arial" w:eastAsia="宋体" w:hAnsi="Arial" w:cs="Arial"/>
          <w:color w:val="333333"/>
          <w:kern w:val="0"/>
          <w:szCs w:val="21"/>
        </w:rPr>
        <w:t>、扶贫办、农业开发办等部门的相关项目要向市级以上龙头企业倾斜，积极帮助市级以上龙头企业申报国家、省级项目，增加龙头企业立项比例。鼓励农业综合开发土地治理项目根据龙头企业需求和当地实际建基地，以项目扶持龙头企业创办农民专</w:t>
      </w:r>
      <w:r w:rsidRPr="00381246">
        <w:rPr>
          <w:rFonts w:ascii="Arial" w:eastAsia="宋体" w:hAnsi="Arial" w:cs="Arial"/>
          <w:color w:val="333333"/>
          <w:kern w:val="0"/>
          <w:szCs w:val="21"/>
        </w:rPr>
        <w:lastRenderedPageBreak/>
        <w:t>业合作经济组织和开展农业咨询服务。对规模较大、市场竞争力较强、辐射带动面广、成长性好的重点龙头企业项目，列入投资参股项目和重点产业化经营项目予以扶持；对效益较好、信用度高、获得银行贷款的龙头企业，予以贴息扶持倾斜。增加小型农田水利建设资金对生产基地建设的投入。</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10</w:t>
      </w:r>
      <w:r w:rsidRPr="00381246">
        <w:rPr>
          <w:rFonts w:ascii="Arial" w:eastAsia="宋体" w:hAnsi="Arial" w:cs="Arial"/>
          <w:color w:val="333333"/>
          <w:kern w:val="0"/>
          <w:szCs w:val="21"/>
        </w:rPr>
        <w:t>、各县（市、区）政府要建立稳定的财政扶持农业产业化龙头企业的投入机制，重点扶持规模以上龙头企业。</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四、落实税收优惠政策</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11</w:t>
      </w:r>
      <w:r w:rsidRPr="00381246">
        <w:rPr>
          <w:rFonts w:ascii="Arial" w:eastAsia="宋体" w:hAnsi="Arial" w:cs="Arial"/>
          <w:color w:val="333333"/>
          <w:kern w:val="0"/>
          <w:szCs w:val="21"/>
        </w:rPr>
        <w:t>、市级以上重点龙头企业从事种植业、养殖业、农林产品初加工取得的收入，暂免征企业所得税。对农村为农业生产服务的农技推广站、植保站、水管站、林业站、畜牧兽医站、水产站、种子站、农机站、气象站，以及农民专业技术协会和专业合作社，其技术服务或劳务所取得的收入，以及城镇其他各类事业单位开展上述技术服务或劳务所取得的收入，暂免征所得税。</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12</w:t>
      </w:r>
      <w:r w:rsidRPr="00381246">
        <w:rPr>
          <w:rFonts w:ascii="Arial" w:eastAsia="宋体" w:hAnsi="Arial" w:cs="Arial"/>
          <w:color w:val="333333"/>
          <w:kern w:val="0"/>
          <w:szCs w:val="21"/>
        </w:rPr>
        <w:t>、市级以上龙头企业投资符合国家产业政策的技术改造项目，其所需国产设备投资的</w:t>
      </w:r>
      <w:r w:rsidRPr="00381246">
        <w:rPr>
          <w:rFonts w:ascii="Arial" w:eastAsia="宋体" w:hAnsi="Arial" w:cs="Arial"/>
          <w:color w:val="333333"/>
          <w:kern w:val="0"/>
          <w:szCs w:val="21"/>
        </w:rPr>
        <w:t>40</w:t>
      </w:r>
      <w:r w:rsidRPr="00381246">
        <w:rPr>
          <w:rFonts w:ascii="Arial" w:eastAsia="宋体" w:hAnsi="Arial" w:cs="Arial"/>
          <w:color w:val="333333"/>
          <w:kern w:val="0"/>
          <w:szCs w:val="21"/>
        </w:rPr>
        <w:t>％，可从企业技术改造项目设备购置当年比前一年新增的企业所得税中抵免。当年新增企业所得税不足抵免的，可用企业下年度企业比设备购置前一年新增企业所得税税款延续抵免，抵免期限最长为</w:t>
      </w:r>
      <w:r w:rsidRPr="00381246">
        <w:rPr>
          <w:rFonts w:ascii="Arial" w:eastAsia="宋体" w:hAnsi="Arial" w:cs="Arial"/>
          <w:color w:val="333333"/>
          <w:kern w:val="0"/>
          <w:szCs w:val="21"/>
        </w:rPr>
        <w:t>5</w:t>
      </w:r>
      <w:r w:rsidRPr="00381246">
        <w:rPr>
          <w:rFonts w:ascii="Arial" w:eastAsia="宋体" w:hAnsi="Arial" w:cs="Arial"/>
          <w:color w:val="333333"/>
          <w:kern w:val="0"/>
          <w:szCs w:val="21"/>
        </w:rPr>
        <w:t>年。</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13</w:t>
      </w:r>
      <w:r w:rsidRPr="00381246">
        <w:rPr>
          <w:rFonts w:ascii="Arial" w:eastAsia="宋体" w:hAnsi="Arial" w:cs="Arial"/>
          <w:color w:val="333333"/>
          <w:kern w:val="0"/>
          <w:szCs w:val="21"/>
        </w:rPr>
        <w:t>、对财务核算制度健全、实行查帐征税的市级以上龙头企业研究开发符合税收规定的新产品、新技术、新工艺所发生的技术开发费，在按规定实行</w:t>
      </w:r>
      <w:r w:rsidRPr="00381246">
        <w:rPr>
          <w:rFonts w:ascii="Arial" w:eastAsia="宋体" w:hAnsi="Arial" w:cs="Arial"/>
          <w:color w:val="333333"/>
          <w:kern w:val="0"/>
          <w:szCs w:val="21"/>
        </w:rPr>
        <w:t>100%</w:t>
      </w:r>
      <w:r w:rsidRPr="00381246">
        <w:rPr>
          <w:rFonts w:ascii="Arial" w:eastAsia="宋体" w:hAnsi="Arial" w:cs="Arial"/>
          <w:color w:val="333333"/>
          <w:kern w:val="0"/>
          <w:szCs w:val="21"/>
        </w:rPr>
        <w:t>扣除基础上，可再按当年实际发生额的</w:t>
      </w:r>
      <w:r w:rsidRPr="00381246">
        <w:rPr>
          <w:rFonts w:ascii="Arial" w:eastAsia="宋体" w:hAnsi="Arial" w:cs="Arial"/>
          <w:color w:val="333333"/>
          <w:kern w:val="0"/>
          <w:szCs w:val="21"/>
        </w:rPr>
        <w:t>50</w:t>
      </w:r>
      <w:r w:rsidRPr="00381246">
        <w:rPr>
          <w:rFonts w:ascii="Arial" w:eastAsia="宋体" w:hAnsi="Arial" w:cs="Arial"/>
          <w:color w:val="333333"/>
          <w:kern w:val="0"/>
          <w:szCs w:val="21"/>
        </w:rPr>
        <w:t>％在企业所得税税前加计扣除，年度实际发生的技术开发费当年不足抵扣的部分，可在以后年度企业所得税应纳税所得额中结转抵扣，抵扣期限最长为</w:t>
      </w:r>
      <w:r w:rsidRPr="00381246">
        <w:rPr>
          <w:rFonts w:ascii="Arial" w:eastAsia="宋体" w:hAnsi="Arial" w:cs="Arial"/>
          <w:color w:val="333333"/>
          <w:kern w:val="0"/>
          <w:szCs w:val="21"/>
        </w:rPr>
        <w:t>5</w:t>
      </w:r>
      <w:r w:rsidRPr="00381246">
        <w:rPr>
          <w:rFonts w:ascii="Arial" w:eastAsia="宋体" w:hAnsi="Arial" w:cs="Arial"/>
          <w:color w:val="333333"/>
          <w:kern w:val="0"/>
          <w:szCs w:val="21"/>
        </w:rPr>
        <w:t>年。龙头企业用于研究开发的仪器和设备，单位价值在</w:t>
      </w:r>
      <w:r w:rsidRPr="00381246">
        <w:rPr>
          <w:rFonts w:ascii="Arial" w:eastAsia="宋体" w:hAnsi="Arial" w:cs="Arial"/>
          <w:color w:val="333333"/>
          <w:kern w:val="0"/>
          <w:szCs w:val="21"/>
        </w:rPr>
        <w:t>30</w:t>
      </w:r>
      <w:r w:rsidRPr="00381246">
        <w:rPr>
          <w:rFonts w:ascii="Arial" w:eastAsia="宋体" w:hAnsi="Arial" w:cs="Arial"/>
          <w:color w:val="333333"/>
          <w:kern w:val="0"/>
          <w:szCs w:val="21"/>
        </w:rPr>
        <w:t>万元以下的，可一次或分次摊入管理费，单位价值在</w:t>
      </w:r>
      <w:r w:rsidRPr="00381246">
        <w:rPr>
          <w:rFonts w:ascii="Arial" w:eastAsia="宋体" w:hAnsi="Arial" w:cs="Arial"/>
          <w:color w:val="333333"/>
          <w:kern w:val="0"/>
          <w:szCs w:val="21"/>
        </w:rPr>
        <w:t>30</w:t>
      </w:r>
      <w:r w:rsidRPr="00381246">
        <w:rPr>
          <w:rFonts w:ascii="Arial" w:eastAsia="宋体" w:hAnsi="Arial" w:cs="Arial"/>
          <w:color w:val="333333"/>
          <w:kern w:val="0"/>
          <w:szCs w:val="21"/>
        </w:rPr>
        <w:t>万元以上的，可适当缩短固定资产折旧年限或加速折旧，折旧费准予税前扣除。龙头企业从事国家鼓励类产业项目，引进国内不能生产的先进加工设备，按有关规定免征进口关税和进口环节增值税。</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14</w:t>
      </w:r>
      <w:r w:rsidRPr="00381246">
        <w:rPr>
          <w:rFonts w:ascii="Arial" w:eastAsia="宋体" w:hAnsi="Arial" w:cs="Arial"/>
          <w:color w:val="333333"/>
          <w:kern w:val="0"/>
          <w:szCs w:val="21"/>
        </w:rPr>
        <w:t>、从事种植业、养殖业的市级以上龙头企业销售本企业自产的农产品，免征增值税。龙头企业生产、销售的种子、种苗、饲料（不含豆</w:t>
      </w:r>
      <w:proofErr w:type="gramStart"/>
      <w:r w:rsidRPr="00381246">
        <w:rPr>
          <w:rFonts w:ascii="Arial" w:eastAsia="宋体" w:hAnsi="Arial" w:cs="Arial"/>
          <w:color w:val="333333"/>
          <w:kern w:val="0"/>
          <w:szCs w:val="21"/>
        </w:rPr>
        <w:t>粕</w:t>
      </w:r>
      <w:proofErr w:type="gramEnd"/>
      <w:r w:rsidRPr="00381246">
        <w:rPr>
          <w:rFonts w:ascii="Arial" w:eastAsia="宋体" w:hAnsi="Arial" w:cs="Arial"/>
          <w:color w:val="333333"/>
          <w:kern w:val="0"/>
          <w:szCs w:val="21"/>
        </w:rPr>
        <w:t>），免征增值税。</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15</w:t>
      </w:r>
      <w:r w:rsidRPr="00381246">
        <w:rPr>
          <w:rFonts w:ascii="Arial" w:eastAsia="宋体" w:hAnsi="Arial" w:cs="Arial"/>
          <w:color w:val="333333"/>
          <w:kern w:val="0"/>
          <w:szCs w:val="21"/>
        </w:rPr>
        <w:t>、市级以上龙头企业直接用于农、林、牧、渔业的生产用地，免征城镇土地使用税。对经批准改造的废弃土地，从使用的月份起，</w:t>
      </w:r>
      <w:r w:rsidRPr="00381246">
        <w:rPr>
          <w:rFonts w:ascii="Arial" w:eastAsia="宋体" w:hAnsi="Arial" w:cs="Arial"/>
          <w:color w:val="333333"/>
          <w:kern w:val="0"/>
          <w:szCs w:val="21"/>
        </w:rPr>
        <w:t>5</w:t>
      </w:r>
      <w:r w:rsidRPr="00381246">
        <w:rPr>
          <w:rFonts w:ascii="Arial" w:eastAsia="宋体" w:hAnsi="Arial" w:cs="Arial"/>
          <w:color w:val="333333"/>
          <w:kern w:val="0"/>
          <w:szCs w:val="21"/>
        </w:rPr>
        <w:t>年内免征城镇土地使用税。</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16</w:t>
      </w:r>
      <w:r w:rsidRPr="00381246">
        <w:rPr>
          <w:rFonts w:ascii="Arial" w:eastAsia="宋体" w:hAnsi="Arial" w:cs="Arial"/>
          <w:color w:val="333333"/>
          <w:kern w:val="0"/>
          <w:szCs w:val="21"/>
        </w:rPr>
        <w:t>、境外企业或个人来我市投资兴办的市级以上龙头企业，享受以下优惠政策：暂免征</w:t>
      </w:r>
      <w:r w:rsidRPr="00381246">
        <w:rPr>
          <w:rFonts w:ascii="Arial" w:eastAsia="宋体" w:hAnsi="Arial" w:cs="Arial"/>
          <w:color w:val="333333"/>
          <w:kern w:val="0"/>
          <w:szCs w:val="21"/>
        </w:rPr>
        <w:t>3</w:t>
      </w:r>
      <w:r w:rsidRPr="00381246">
        <w:rPr>
          <w:rFonts w:ascii="Arial" w:eastAsia="宋体" w:hAnsi="Arial" w:cs="Arial"/>
          <w:color w:val="333333"/>
          <w:kern w:val="0"/>
          <w:szCs w:val="21"/>
        </w:rPr>
        <w:t>％的地方所得税；对经营期在</w:t>
      </w:r>
      <w:r w:rsidRPr="00381246">
        <w:rPr>
          <w:rFonts w:ascii="Arial" w:eastAsia="宋体" w:hAnsi="Arial" w:cs="Arial"/>
          <w:color w:val="333333"/>
          <w:kern w:val="0"/>
          <w:szCs w:val="21"/>
        </w:rPr>
        <w:t>10</w:t>
      </w:r>
      <w:r w:rsidRPr="00381246">
        <w:rPr>
          <w:rFonts w:ascii="Arial" w:eastAsia="宋体" w:hAnsi="Arial" w:cs="Arial"/>
          <w:color w:val="333333"/>
          <w:kern w:val="0"/>
          <w:szCs w:val="21"/>
        </w:rPr>
        <w:t>年以上的生产性龙头企业，从开始获利年度起，免征</w:t>
      </w:r>
      <w:r w:rsidRPr="00381246">
        <w:rPr>
          <w:rFonts w:ascii="Arial" w:eastAsia="宋体" w:hAnsi="Arial" w:cs="Arial"/>
          <w:color w:val="333333"/>
          <w:kern w:val="0"/>
          <w:szCs w:val="21"/>
        </w:rPr>
        <w:lastRenderedPageBreak/>
        <w:t>企业所得税</w:t>
      </w:r>
      <w:r w:rsidRPr="00381246">
        <w:rPr>
          <w:rFonts w:ascii="Arial" w:eastAsia="宋体" w:hAnsi="Arial" w:cs="Arial"/>
          <w:color w:val="333333"/>
          <w:kern w:val="0"/>
          <w:szCs w:val="21"/>
        </w:rPr>
        <w:t>2</w:t>
      </w:r>
      <w:r w:rsidRPr="00381246">
        <w:rPr>
          <w:rFonts w:ascii="Arial" w:eastAsia="宋体" w:hAnsi="Arial" w:cs="Arial"/>
          <w:color w:val="333333"/>
          <w:kern w:val="0"/>
          <w:szCs w:val="21"/>
        </w:rPr>
        <w:t>年，第</w:t>
      </w:r>
      <w:r w:rsidRPr="00381246">
        <w:rPr>
          <w:rFonts w:ascii="Arial" w:eastAsia="宋体" w:hAnsi="Arial" w:cs="Arial"/>
          <w:color w:val="333333"/>
          <w:kern w:val="0"/>
          <w:szCs w:val="21"/>
        </w:rPr>
        <w:t>3</w:t>
      </w:r>
      <w:r w:rsidRPr="00381246">
        <w:rPr>
          <w:rFonts w:ascii="Arial" w:eastAsia="宋体" w:hAnsi="Arial" w:cs="Arial"/>
          <w:color w:val="333333"/>
          <w:kern w:val="0"/>
          <w:szCs w:val="21"/>
        </w:rPr>
        <w:t>年至第</w:t>
      </w:r>
      <w:r w:rsidRPr="00381246">
        <w:rPr>
          <w:rFonts w:ascii="Arial" w:eastAsia="宋体" w:hAnsi="Arial" w:cs="Arial"/>
          <w:color w:val="333333"/>
          <w:kern w:val="0"/>
          <w:szCs w:val="21"/>
        </w:rPr>
        <w:t>5</w:t>
      </w:r>
      <w:r w:rsidRPr="00381246">
        <w:rPr>
          <w:rFonts w:ascii="Arial" w:eastAsia="宋体" w:hAnsi="Arial" w:cs="Arial"/>
          <w:color w:val="333333"/>
          <w:kern w:val="0"/>
          <w:szCs w:val="21"/>
        </w:rPr>
        <w:t>年减半征收企业所得税；从事农业、林业、牧业的龙头企业，在</w:t>
      </w:r>
      <w:r w:rsidRPr="00381246">
        <w:rPr>
          <w:rFonts w:ascii="Arial" w:eastAsia="宋体" w:hAnsi="Arial" w:cs="Arial"/>
          <w:color w:val="333333"/>
          <w:kern w:val="0"/>
          <w:szCs w:val="21"/>
        </w:rPr>
        <w:t>5</w:t>
      </w:r>
      <w:r w:rsidRPr="00381246">
        <w:rPr>
          <w:rFonts w:ascii="Arial" w:eastAsia="宋体" w:hAnsi="Arial" w:cs="Arial"/>
          <w:color w:val="333333"/>
          <w:kern w:val="0"/>
          <w:szCs w:val="21"/>
        </w:rPr>
        <w:t>年减免税期满后，报经主管税务机关批准，在以后的</w:t>
      </w:r>
      <w:r w:rsidRPr="00381246">
        <w:rPr>
          <w:rFonts w:ascii="Arial" w:eastAsia="宋体" w:hAnsi="Arial" w:cs="Arial"/>
          <w:color w:val="333333"/>
          <w:kern w:val="0"/>
          <w:szCs w:val="21"/>
        </w:rPr>
        <w:t>10</w:t>
      </w:r>
      <w:r w:rsidRPr="00381246">
        <w:rPr>
          <w:rFonts w:ascii="Arial" w:eastAsia="宋体" w:hAnsi="Arial" w:cs="Arial"/>
          <w:color w:val="333333"/>
          <w:kern w:val="0"/>
          <w:szCs w:val="21"/>
        </w:rPr>
        <w:t>年内可继续按应纳税额减征</w:t>
      </w:r>
      <w:r w:rsidRPr="00381246">
        <w:rPr>
          <w:rFonts w:ascii="Arial" w:eastAsia="宋体" w:hAnsi="Arial" w:cs="Arial"/>
          <w:color w:val="333333"/>
          <w:kern w:val="0"/>
          <w:szCs w:val="21"/>
        </w:rPr>
        <w:t>15</w:t>
      </w:r>
      <w:r w:rsidRPr="00381246">
        <w:rPr>
          <w:rFonts w:ascii="Arial" w:eastAsia="宋体" w:hAnsi="Arial" w:cs="Arial"/>
          <w:color w:val="333333"/>
          <w:kern w:val="0"/>
          <w:szCs w:val="21"/>
        </w:rPr>
        <w:t>％至</w:t>
      </w:r>
      <w:r w:rsidRPr="00381246">
        <w:rPr>
          <w:rFonts w:ascii="Arial" w:eastAsia="宋体" w:hAnsi="Arial" w:cs="Arial"/>
          <w:color w:val="333333"/>
          <w:kern w:val="0"/>
          <w:szCs w:val="21"/>
        </w:rPr>
        <w:t>30</w:t>
      </w:r>
      <w:r w:rsidRPr="00381246">
        <w:rPr>
          <w:rFonts w:ascii="Arial" w:eastAsia="宋体" w:hAnsi="Arial" w:cs="Arial"/>
          <w:color w:val="333333"/>
          <w:kern w:val="0"/>
          <w:szCs w:val="21"/>
        </w:rPr>
        <w:t>％的企业所得税；产品出口的龙头企业，依照有关规定减免企业所得税期满后，凡当年出口产品产值达到当年企业产品产值</w:t>
      </w:r>
      <w:r w:rsidRPr="00381246">
        <w:rPr>
          <w:rFonts w:ascii="Arial" w:eastAsia="宋体" w:hAnsi="Arial" w:cs="Arial"/>
          <w:color w:val="333333"/>
          <w:kern w:val="0"/>
          <w:szCs w:val="21"/>
        </w:rPr>
        <w:t>70</w:t>
      </w:r>
      <w:r w:rsidRPr="00381246">
        <w:rPr>
          <w:rFonts w:ascii="Arial" w:eastAsia="宋体" w:hAnsi="Arial" w:cs="Arial"/>
          <w:color w:val="333333"/>
          <w:kern w:val="0"/>
          <w:szCs w:val="21"/>
        </w:rPr>
        <w:t>％以上的，可按现行税率减半缴纳企业所得税，减半后税率低于</w:t>
      </w:r>
      <w:r w:rsidRPr="00381246">
        <w:rPr>
          <w:rFonts w:ascii="Arial" w:eastAsia="宋体" w:hAnsi="Arial" w:cs="Arial"/>
          <w:color w:val="333333"/>
          <w:kern w:val="0"/>
          <w:szCs w:val="21"/>
        </w:rPr>
        <w:t>10</w:t>
      </w:r>
      <w:r w:rsidRPr="00381246">
        <w:rPr>
          <w:rFonts w:ascii="Arial" w:eastAsia="宋体" w:hAnsi="Arial" w:cs="Arial"/>
          <w:color w:val="333333"/>
          <w:kern w:val="0"/>
          <w:szCs w:val="21"/>
        </w:rPr>
        <w:t>％的，按</w:t>
      </w:r>
      <w:r w:rsidRPr="00381246">
        <w:rPr>
          <w:rFonts w:ascii="Arial" w:eastAsia="宋体" w:hAnsi="Arial" w:cs="Arial"/>
          <w:color w:val="333333"/>
          <w:kern w:val="0"/>
          <w:szCs w:val="21"/>
        </w:rPr>
        <w:t>10</w:t>
      </w:r>
      <w:r w:rsidRPr="00381246">
        <w:rPr>
          <w:rFonts w:ascii="Arial" w:eastAsia="宋体" w:hAnsi="Arial" w:cs="Arial"/>
          <w:color w:val="333333"/>
          <w:kern w:val="0"/>
          <w:szCs w:val="21"/>
        </w:rPr>
        <w:t>％的税率缴纳企业所得税；对国家鼓励类产业的龙头企业，在现行税收优惠政策执行期满后的</w:t>
      </w:r>
      <w:r w:rsidRPr="00381246">
        <w:rPr>
          <w:rFonts w:ascii="Arial" w:eastAsia="宋体" w:hAnsi="Arial" w:cs="Arial"/>
          <w:color w:val="333333"/>
          <w:kern w:val="0"/>
          <w:szCs w:val="21"/>
        </w:rPr>
        <w:t>3</w:t>
      </w:r>
      <w:r w:rsidRPr="00381246">
        <w:rPr>
          <w:rFonts w:ascii="Arial" w:eastAsia="宋体" w:hAnsi="Arial" w:cs="Arial"/>
          <w:color w:val="333333"/>
          <w:kern w:val="0"/>
          <w:szCs w:val="21"/>
        </w:rPr>
        <w:t>年内，可减半征收企业所得税。</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17</w:t>
      </w:r>
      <w:r w:rsidRPr="00381246">
        <w:rPr>
          <w:rFonts w:ascii="Arial" w:eastAsia="宋体" w:hAnsi="Arial" w:cs="Arial"/>
          <w:color w:val="333333"/>
          <w:kern w:val="0"/>
          <w:szCs w:val="21"/>
        </w:rPr>
        <w:t>、支持龙头企业抵御市场和自然风险。龙头企业因市场价格下跌、按保护价收购而造成的价差损失，以及弥补农户因不可抗拒自然灾害和重大病虫害造成的损失，由企业承担的部分，经主管税务机关批准后，允许在税前扣除。龙头企业遭受风、火、水、震等严重自然灾害，经主管税务机关批准，可减征或免征企业所得税</w:t>
      </w:r>
      <w:r w:rsidRPr="00381246">
        <w:rPr>
          <w:rFonts w:ascii="Arial" w:eastAsia="宋体" w:hAnsi="Arial" w:cs="Arial"/>
          <w:color w:val="333333"/>
          <w:kern w:val="0"/>
          <w:szCs w:val="21"/>
        </w:rPr>
        <w:t>1</w:t>
      </w:r>
      <w:r w:rsidRPr="00381246">
        <w:rPr>
          <w:rFonts w:ascii="Arial" w:eastAsia="宋体" w:hAnsi="Arial" w:cs="Arial"/>
          <w:color w:val="333333"/>
          <w:kern w:val="0"/>
          <w:szCs w:val="21"/>
        </w:rPr>
        <w:t>年。</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18</w:t>
      </w:r>
      <w:r w:rsidRPr="00381246">
        <w:rPr>
          <w:rFonts w:ascii="Arial" w:eastAsia="宋体" w:hAnsi="Arial" w:cs="Arial"/>
          <w:color w:val="333333"/>
          <w:kern w:val="0"/>
          <w:szCs w:val="21"/>
        </w:rPr>
        <w:t>、资源综合利用类龙头企业，除享受上述税收优惠政策外，可继续享受国家有关资源综合利用税收优惠政策。</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五、扩大金融支持领域</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19</w:t>
      </w:r>
      <w:r w:rsidRPr="00381246">
        <w:rPr>
          <w:rFonts w:ascii="Arial" w:eastAsia="宋体" w:hAnsi="Arial" w:cs="Arial"/>
          <w:color w:val="333333"/>
          <w:kern w:val="0"/>
          <w:szCs w:val="21"/>
        </w:rPr>
        <w:t>、国有商业银行、政策性银行和农村信用社要安排一定比例信贷资金，专项支持市级以上龙头企业，对国家级龙头企业贷款执行中国人民银行基准利率</w:t>
      </w:r>
      <w:proofErr w:type="gramStart"/>
      <w:r w:rsidRPr="00381246">
        <w:rPr>
          <w:rFonts w:ascii="Arial" w:eastAsia="宋体" w:hAnsi="Arial" w:cs="Arial"/>
          <w:color w:val="333333"/>
          <w:kern w:val="0"/>
          <w:szCs w:val="21"/>
        </w:rPr>
        <w:t>不</w:t>
      </w:r>
      <w:proofErr w:type="gramEnd"/>
      <w:r w:rsidRPr="00381246">
        <w:rPr>
          <w:rFonts w:ascii="Arial" w:eastAsia="宋体" w:hAnsi="Arial" w:cs="Arial"/>
          <w:color w:val="333333"/>
          <w:kern w:val="0"/>
          <w:szCs w:val="21"/>
        </w:rPr>
        <w:t>上浮。及时做好信贷规模的配置和系统资金的调度，每年新增的可用规模优先用于市级以上龙头企业。农业银行、农业发展银行要提高对龙头企业的支持面，提高龙头企业扶持贷款在涉农贷款中的比例，加大对龙头企业固定资产和技术改造等中长期贷款的支持力度，根据龙头企业资金需求特点，不断创新金融产品和抵押担保方式，重点解决季节性收购等流动资金贷款需求。农业发展银行要逐步扩大贷款领域，增加贷款规模，重点解决龙头企业短期流动资金，并逐年增加对龙头企业的中长期贷款。全市农村信用社用于龙头企业的信贷投入要逐年增加。各地要适当集中信贷资金，通过创新担保方式、健全授信制度、办理社团贷款等措施，重点支持一批市场前景好、发展潜力大、带动能力强的龙头企业。对出口龙头企业的农产品收购资金贷款，金融部门可凭龙头企业出口产品订单和外商提供的由其开户行出具的信用证优先放贷。</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20</w:t>
      </w:r>
      <w:r w:rsidRPr="00381246">
        <w:rPr>
          <w:rFonts w:ascii="Arial" w:eastAsia="宋体" w:hAnsi="Arial" w:cs="Arial"/>
          <w:color w:val="333333"/>
          <w:kern w:val="0"/>
          <w:szCs w:val="21"/>
        </w:rPr>
        <w:t>、鼓励和支持市级以上龙头企业利用资本市场直接融资。支持和鼓励龙头企业积极争取外国政府、世界银行、联合国粮农组织的无偿资金或无息、低息贷款。</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21</w:t>
      </w:r>
      <w:r w:rsidRPr="00381246">
        <w:rPr>
          <w:rFonts w:ascii="Arial" w:eastAsia="宋体" w:hAnsi="Arial" w:cs="Arial"/>
          <w:color w:val="333333"/>
          <w:kern w:val="0"/>
          <w:szCs w:val="21"/>
        </w:rPr>
        <w:t>、完善农业产业化信用担保体系，积极开展农业产业化信用担保工作。支持信用担保机构为龙头企业提供融资担保服务。信用担保机构在风险评估的基础上，要适当降低对市级以上龙头企业的担保门槛，放宽对净资产比例的要求；加大对龙头企业季节性收购农产品所需流动资金的担保力度，帮助解决短期流动资金贷款问题。</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lastRenderedPageBreak/>
        <w:t xml:space="preserve">　　</w:t>
      </w:r>
      <w:r w:rsidRPr="00381246">
        <w:rPr>
          <w:rFonts w:ascii="Arial" w:eastAsia="宋体" w:hAnsi="Arial" w:cs="Arial"/>
          <w:color w:val="333333"/>
          <w:kern w:val="0"/>
          <w:szCs w:val="21"/>
        </w:rPr>
        <w:t>22</w:t>
      </w:r>
      <w:r w:rsidRPr="00381246">
        <w:rPr>
          <w:rFonts w:ascii="Arial" w:eastAsia="宋体" w:hAnsi="Arial" w:cs="Arial"/>
          <w:color w:val="333333"/>
          <w:kern w:val="0"/>
          <w:szCs w:val="21"/>
        </w:rPr>
        <w:t>、推进龙头企业保险工作。商业保险公司要积极探索龙头企业保险组织形式，开发龙头企业急需的保险产品，为龙头企业提供更多的企业财产、产品责任、雇主责任、货物运输等保险服务。鼓励龙头企业资助农户参加农业保险。</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六、推进外向型经济发展</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23</w:t>
      </w:r>
      <w:r w:rsidRPr="00381246">
        <w:rPr>
          <w:rFonts w:ascii="Arial" w:eastAsia="宋体" w:hAnsi="Arial" w:cs="Arial"/>
          <w:color w:val="333333"/>
          <w:kern w:val="0"/>
          <w:szCs w:val="21"/>
        </w:rPr>
        <w:t>、外商来我市投资兴办农业企业、建立生产基地，在项目审批、土地供应、银行贷款、财政资金安排、良种供应、技术服务、产销对接等方面给予大力支持。达到龙头企业基本条件的，优先增补；对投资规模较大、带动能力较强的，优先安排贴息资金。对市级以上龙头企业利用境外资金的重大项目，在贷款贴息方面给予支持；对中外合资的市级以上龙头企业的中方股本融资提供担保支持。</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24</w:t>
      </w:r>
      <w:r w:rsidRPr="00381246">
        <w:rPr>
          <w:rFonts w:ascii="Arial" w:eastAsia="宋体" w:hAnsi="Arial" w:cs="Arial"/>
          <w:color w:val="333333"/>
          <w:kern w:val="0"/>
          <w:szCs w:val="21"/>
        </w:rPr>
        <w:t>、鼓励符合条件的龙头企业申报自营进出口权，简化行政审批手续。符合国家外贸发展基金规定支持的出口产品，有关部门要积极帮助争取国家有关出口促进政策、资金扶持，帮助出口农业企业通过提高农产品生产加工质量管理水平，降低产品出口有关费用。</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25</w:t>
      </w:r>
      <w:r w:rsidRPr="00381246">
        <w:rPr>
          <w:rFonts w:ascii="Arial" w:eastAsia="宋体" w:hAnsi="Arial" w:cs="Arial"/>
          <w:color w:val="333333"/>
          <w:kern w:val="0"/>
          <w:szCs w:val="21"/>
        </w:rPr>
        <w:t>、对有出口实绩的龙头企业获得质量体系、环境体系和安全体系国际认证，</w:t>
      </w:r>
      <w:r w:rsidRPr="00381246">
        <w:rPr>
          <w:rFonts w:ascii="Arial" w:eastAsia="宋体" w:hAnsi="Arial" w:cs="Arial"/>
          <w:color w:val="333333"/>
          <w:kern w:val="0"/>
          <w:szCs w:val="21"/>
        </w:rPr>
        <w:t>HACCP</w:t>
      </w:r>
      <w:r w:rsidRPr="00381246">
        <w:rPr>
          <w:rFonts w:ascii="Arial" w:eastAsia="宋体" w:hAnsi="Arial" w:cs="Arial"/>
          <w:color w:val="333333"/>
          <w:kern w:val="0"/>
          <w:szCs w:val="21"/>
        </w:rPr>
        <w:t>（食品生产企业危害分析与关键控制点认证体系）和</w:t>
      </w:r>
      <w:r w:rsidRPr="00381246">
        <w:rPr>
          <w:rFonts w:ascii="Arial" w:eastAsia="宋体" w:hAnsi="Arial" w:cs="Arial"/>
          <w:color w:val="333333"/>
          <w:kern w:val="0"/>
          <w:szCs w:val="21"/>
        </w:rPr>
        <w:t>GAP</w:t>
      </w:r>
      <w:r w:rsidRPr="00381246">
        <w:rPr>
          <w:rFonts w:ascii="Arial" w:eastAsia="宋体" w:hAnsi="Arial" w:cs="Arial"/>
          <w:color w:val="333333"/>
          <w:kern w:val="0"/>
          <w:szCs w:val="21"/>
        </w:rPr>
        <w:t>（良好农业规范国家标准）认证以及在国外成功注册农产品商标的，给予补助。开展出口农产品品牌和出口示范基地认证，对列为上饶市出口农产品品牌或出口示范基地的龙头企业，给予一定补助。</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26</w:t>
      </w:r>
      <w:r w:rsidRPr="00381246">
        <w:rPr>
          <w:rFonts w:ascii="Arial" w:eastAsia="宋体" w:hAnsi="Arial" w:cs="Arial"/>
          <w:color w:val="333333"/>
          <w:kern w:val="0"/>
          <w:szCs w:val="21"/>
        </w:rPr>
        <w:t>、出口龙头企业投保短期出口信用险的，按缴纳保费金额给予一定补贴（不包括国家补贴）。对龙头企业出口的农产品，严格执行国务院规定的出口退税率，并实行</w:t>
      </w:r>
      <w:r w:rsidRPr="00381246">
        <w:rPr>
          <w:rFonts w:ascii="Arial" w:eastAsia="宋体" w:hAnsi="Arial" w:cs="Arial"/>
          <w:color w:val="333333"/>
          <w:kern w:val="0"/>
          <w:szCs w:val="21"/>
        </w:rPr>
        <w:t>“</w:t>
      </w:r>
      <w:r w:rsidRPr="00381246">
        <w:rPr>
          <w:rFonts w:ascii="Arial" w:eastAsia="宋体" w:hAnsi="Arial" w:cs="Arial"/>
          <w:color w:val="333333"/>
          <w:kern w:val="0"/>
          <w:szCs w:val="21"/>
        </w:rPr>
        <w:t>免抵退</w:t>
      </w:r>
      <w:r w:rsidRPr="00381246">
        <w:rPr>
          <w:rFonts w:ascii="Arial" w:eastAsia="宋体" w:hAnsi="Arial" w:cs="Arial"/>
          <w:color w:val="333333"/>
          <w:kern w:val="0"/>
          <w:szCs w:val="21"/>
        </w:rPr>
        <w:t>”</w:t>
      </w:r>
      <w:r w:rsidRPr="00381246">
        <w:rPr>
          <w:rFonts w:ascii="Arial" w:eastAsia="宋体" w:hAnsi="Arial" w:cs="Arial"/>
          <w:color w:val="333333"/>
          <w:kern w:val="0"/>
          <w:szCs w:val="21"/>
        </w:rPr>
        <w:t>政策。</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七、优化发展环境</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27</w:t>
      </w:r>
      <w:r w:rsidRPr="00381246">
        <w:rPr>
          <w:rFonts w:ascii="Arial" w:eastAsia="宋体" w:hAnsi="Arial" w:cs="Arial"/>
          <w:color w:val="333333"/>
          <w:kern w:val="0"/>
          <w:szCs w:val="21"/>
        </w:rPr>
        <w:t>、市级以上农产品加工龙头企业生产用水，减半征收水资源费。种植业、养殖业基地用水，在落实防治污染措施的前提下，暂缓征收水资源费。</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28</w:t>
      </w:r>
      <w:r w:rsidRPr="00381246">
        <w:rPr>
          <w:rFonts w:ascii="Arial" w:eastAsia="宋体" w:hAnsi="Arial" w:cs="Arial"/>
          <w:color w:val="333333"/>
          <w:kern w:val="0"/>
          <w:szCs w:val="21"/>
        </w:rPr>
        <w:t>、市级以上龙头企业用电参照省级龙头企业电价优惠政策，实行农业用电价格标准，严禁乱加价和收取其他费用。</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29</w:t>
      </w:r>
      <w:r w:rsidRPr="00381246">
        <w:rPr>
          <w:rFonts w:ascii="Arial" w:eastAsia="宋体" w:hAnsi="Arial" w:cs="Arial"/>
          <w:color w:val="333333"/>
          <w:kern w:val="0"/>
          <w:szCs w:val="21"/>
        </w:rPr>
        <w:t>、市级以上龙头企业发展和建设所需用地视同重点项目建设用地，发展和改革及国土资源管理部门在编制年度用地计划时予以优先安排。市级以上龙头企业可优先、优惠获得国有土地使用权。符合国家划拨供地目录的项目用地，可实行划拨方式供地。龙头企业的农产品生产基地、农产品临时性收购场所、</w:t>
      </w:r>
      <w:proofErr w:type="gramStart"/>
      <w:r w:rsidRPr="00381246">
        <w:rPr>
          <w:rFonts w:ascii="Arial" w:eastAsia="宋体" w:hAnsi="Arial" w:cs="Arial"/>
          <w:color w:val="333333"/>
          <w:kern w:val="0"/>
          <w:szCs w:val="21"/>
        </w:rPr>
        <w:t>农林种</w:t>
      </w:r>
      <w:proofErr w:type="gramEnd"/>
      <w:r w:rsidRPr="00381246">
        <w:rPr>
          <w:rFonts w:ascii="Arial" w:eastAsia="宋体" w:hAnsi="Arial" w:cs="Arial"/>
          <w:color w:val="333333"/>
          <w:kern w:val="0"/>
          <w:szCs w:val="21"/>
        </w:rPr>
        <w:t>养殖场和设施农业用地，视同农业生产用地。在不改变农用地性质的前提下，允许农户依法有偿转让承包土地使用权，或以土</w:t>
      </w:r>
      <w:r w:rsidRPr="00381246">
        <w:rPr>
          <w:rFonts w:ascii="Arial" w:eastAsia="宋体" w:hAnsi="Arial" w:cs="Arial"/>
          <w:color w:val="333333"/>
          <w:kern w:val="0"/>
          <w:szCs w:val="21"/>
        </w:rPr>
        <w:lastRenderedPageBreak/>
        <w:t>地使用权入股参与农业产业化经营。</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30</w:t>
      </w:r>
      <w:r w:rsidRPr="00381246">
        <w:rPr>
          <w:rFonts w:ascii="Arial" w:eastAsia="宋体" w:hAnsi="Arial" w:cs="Arial"/>
          <w:color w:val="333333"/>
          <w:kern w:val="0"/>
          <w:szCs w:val="21"/>
        </w:rPr>
        <w:t>、以粮食生产、加工为主的龙头企业，符合技术和设备条件的，给予其与农民签订粮食生产加工合同，跨县（市、区）收购、加工、批发、零售粮食经营权；跨地区创建公司或分支机构的，各地政府不得封锁市场。鼓励市级以上粮食加工型、流通型龙头企业参与粮食收储工作。符合条件的市级以上龙头企业，可按程序向所在区域中储粮江西分公司各直属</w:t>
      </w:r>
      <w:proofErr w:type="gramStart"/>
      <w:r w:rsidRPr="00381246">
        <w:rPr>
          <w:rFonts w:ascii="Arial" w:eastAsia="宋体" w:hAnsi="Arial" w:cs="Arial"/>
          <w:color w:val="333333"/>
          <w:kern w:val="0"/>
          <w:szCs w:val="21"/>
        </w:rPr>
        <w:t>库提出</w:t>
      </w:r>
      <w:proofErr w:type="gramEnd"/>
      <w:r w:rsidRPr="00381246">
        <w:rPr>
          <w:rFonts w:ascii="Arial" w:eastAsia="宋体" w:hAnsi="Arial" w:cs="Arial"/>
          <w:color w:val="333333"/>
          <w:kern w:val="0"/>
          <w:szCs w:val="21"/>
        </w:rPr>
        <w:t>最低收购价粮食收储申请，经审核批准后从事有关政策性收储业务。在龙头企业季节性收购农产品时，根据企业实际需要，税务部门可向其提供一定数量的大面额发票。</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31</w:t>
      </w:r>
      <w:r w:rsidRPr="00381246">
        <w:rPr>
          <w:rFonts w:ascii="Arial" w:eastAsia="宋体" w:hAnsi="Arial" w:cs="Arial"/>
          <w:color w:val="333333"/>
          <w:kern w:val="0"/>
          <w:szCs w:val="21"/>
        </w:rPr>
        <w:t>、经市政府批准新建的农产品专业（综合）批发市场等，</w:t>
      </w:r>
      <w:r w:rsidRPr="00381246">
        <w:rPr>
          <w:rFonts w:ascii="Arial" w:eastAsia="宋体" w:hAnsi="Arial" w:cs="Arial"/>
          <w:color w:val="333333"/>
          <w:kern w:val="0"/>
          <w:szCs w:val="21"/>
        </w:rPr>
        <w:t>3</w:t>
      </w:r>
      <w:r w:rsidRPr="00381246">
        <w:rPr>
          <w:rFonts w:ascii="Arial" w:eastAsia="宋体" w:hAnsi="Arial" w:cs="Arial"/>
          <w:color w:val="333333"/>
          <w:kern w:val="0"/>
          <w:szCs w:val="21"/>
        </w:rPr>
        <w:t>年内可减半收取各种</w:t>
      </w:r>
      <w:proofErr w:type="gramStart"/>
      <w:r w:rsidRPr="00381246">
        <w:rPr>
          <w:rFonts w:ascii="Arial" w:eastAsia="宋体" w:hAnsi="Arial" w:cs="Arial"/>
          <w:color w:val="333333"/>
          <w:kern w:val="0"/>
          <w:szCs w:val="21"/>
        </w:rPr>
        <w:t>规</w:t>
      </w:r>
      <w:proofErr w:type="gramEnd"/>
      <w:r w:rsidRPr="00381246">
        <w:rPr>
          <w:rFonts w:ascii="Arial" w:eastAsia="宋体" w:hAnsi="Arial" w:cs="Arial"/>
          <w:color w:val="333333"/>
          <w:kern w:val="0"/>
          <w:szCs w:val="21"/>
        </w:rPr>
        <w:t>费。</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32</w:t>
      </w:r>
      <w:r w:rsidRPr="00381246">
        <w:rPr>
          <w:rFonts w:ascii="Arial" w:eastAsia="宋体" w:hAnsi="Arial" w:cs="Arial"/>
          <w:color w:val="333333"/>
          <w:kern w:val="0"/>
          <w:szCs w:val="21"/>
        </w:rPr>
        <w:t>、取消地方自立的有关收费项目。各地、各部门不得以任何名义自立收费项目，凡有自立项目向龙头企业违规收费的，一律取消。严禁向龙头企业乱集资、乱摊派、乱收费。</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33</w:t>
      </w:r>
      <w:r w:rsidRPr="00381246">
        <w:rPr>
          <w:rFonts w:ascii="Arial" w:eastAsia="宋体" w:hAnsi="Arial" w:cs="Arial"/>
          <w:color w:val="333333"/>
          <w:kern w:val="0"/>
          <w:szCs w:val="21"/>
        </w:rPr>
        <w:t>、严格执行国家和省鲜活农产品运输优惠政策，确保农产品流通</w:t>
      </w:r>
      <w:r w:rsidRPr="00381246">
        <w:rPr>
          <w:rFonts w:ascii="Arial" w:eastAsia="宋体" w:hAnsi="Arial" w:cs="Arial"/>
          <w:color w:val="333333"/>
          <w:kern w:val="0"/>
          <w:szCs w:val="21"/>
        </w:rPr>
        <w:t>“</w:t>
      </w:r>
      <w:r w:rsidRPr="00381246">
        <w:rPr>
          <w:rFonts w:ascii="Arial" w:eastAsia="宋体" w:hAnsi="Arial" w:cs="Arial"/>
          <w:color w:val="333333"/>
          <w:kern w:val="0"/>
          <w:szCs w:val="21"/>
        </w:rPr>
        <w:t>绿色通道</w:t>
      </w:r>
      <w:r w:rsidRPr="00381246">
        <w:rPr>
          <w:rFonts w:ascii="Arial" w:eastAsia="宋体" w:hAnsi="Arial" w:cs="Arial"/>
          <w:color w:val="333333"/>
          <w:kern w:val="0"/>
          <w:szCs w:val="21"/>
        </w:rPr>
        <w:t>”</w:t>
      </w:r>
      <w:r w:rsidRPr="00381246">
        <w:rPr>
          <w:rFonts w:ascii="Arial" w:eastAsia="宋体" w:hAnsi="Arial" w:cs="Arial"/>
          <w:color w:val="333333"/>
          <w:kern w:val="0"/>
          <w:szCs w:val="21"/>
        </w:rPr>
        <w:t>顺畅、便捷和低成本化。</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八、加强对龙头企业的指导和服务</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34</w:t>
      </w:r>
      <w:r w:rsidRPr="00381246">
        <w:rPr>
          <w:rFonts w:ascii="Arial" w:eastAsia="宋体" w:hAnsi="Arial" w:cs="Arial"/>
          <w:color w:val="333333"/>
          <w:kern w:val="0"/>
          <w:szCs w:val="21"/>
        </w:rPr>
        <w:t>、加强组织领导。各地要将发展农业产业化经营作为今后一段时期农业和农村工作的重点和核心，落实</w:t>
      </w:r>
      <w:r w:rsidRPr="00381246">
        <w:rPr>
          <w:rFonts w:ascii="Arial" w:eastAsia="宋体" w:hAnsi="Arial" w:cs="Arial"/>
          <w:color w:val="333333"/>
          <w:kern w:val="0"/>
          <w:szCs w:val="21"/>
        </w:rPr>
        <w:t>“</w:t>
      </w:r>
      <w:r w:rsidRPr="00381246">
        <w:rPr>
          <w:rFonts w:ascii="Arial" w:eastAsia="宋体" w:hAnsi="Arial" w:cs="Arial"/>
          <w:color w:val="333333"/>
          <w:kern w:val="0"/>
          <w:szCs w:val="21"/>
        </w:rPr>
        <w:t>一项产业、一套班子、一个规划、一套政策、一套办法</w:t>
      </w:r>
      <w:r w:rsidRPr="00381246">
        <w:rPr>
          <w:rFonts w:ascii="Arial" w:eastAsia="宋体" w:hAnsi="Arial" w:cs="Arial"/>
          <w:color w:val="333333"/>
          <w:kern w:val="0"/>
          <w:szCs w:val="21"/>
        </w:rPr>
        <w:t>”</w:t>
      </w:r>
      <w:r w:rsidRPr="00381246">
        <w:rPr>
          <w:rFonts w:ascii="Arial" w:eastAsia="宋体" w:hAnsi="Arial" w:cs="Arial"/>
          <w:color w:val="333333"/>
          <w:kern w:val="0"/>
          <w:szCs w:val="21"/>
        </w:rPr>
        <w:t>的推进措施，加强宏观调控和服务管理。市政府已成立推进农业产业化经营工作领导小组，各县（市、区）也要成立相应工作机构，明确分管领导和责任人，狠抓各项工作落实。</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35</w:t>
      </w:r>
      <w:r w:rsidRPr="00381246">
        <w:rPr>
          <w:rFonts w:ascii="Arial" w:eastAsia="宋体" w:hAnsi="Arial" w:cs="Arial"/>
          <w:color w:val="333333"/>
          <w:kern w:val="0"/>
          <w:szCs w:val="21"/>
        </w:rPr>
        <w:t>、加强统计监测。建立健全农业产业化经营统计指标体系，及时准确地做好统计分析工作。完善监测制度，采用科学、公正、公开的方法，加强对重点龙头企业的动态管理，定期对重点龙头企业运行情况进行监测评估。动态监测合格的市级以上龙头企业，继续享受有关优惠政策；对连续二年监测不合格的，取消其市级龙头企业资格，不再享受有关优惠政策。</w:t>
      </w:r>
      <w:r w:rsidRPr="00381246">
        <w:rPr>
          <w:rFonts w:ascii="Arial" w:eastAsia="宋体" w:hAnsi="Arial" w:cs="Arial"/>
          <w:color w:val="333333"/>
          <w:kern w:val="0"/>
          <w:szCs w:val="21"/>
        </w:rPr>
        <w:t> </w:t>
      </w:r>
      <w:r w:rsidRPr="00381246">
        <w:rPr>
          <w:rFonts w:ascii="Arial" w:eastAsia="宋体" w:hAnsi="Arial" w:cs="Arial"/>
          <w:color w:val="333333"/>
          <w:kern w:val="0"/>
          <w:szCs w:val="21"/>
        </w:rPr>
        <w:br/>
      </w:r>
      <w:r w:rsidRPr="00381246">
        <w:rPr>
          <w:rFonts w:ascii="Arial" w:eastAsia="宋体" w:hAnsi="Arial" w:cs="Arial"/>
          <w:color w:val="333333"/>
          <w:kern w:val="0"/>
          <w:szCs w:val="21"/>
        </w:rPr>
        <w:br/>
      </w:r>
      <w:r w:rsidRPr="00381246">
        <w:rPr>
          <w:rFonts w:ascii="Arial" w:eastAsia="宋体" w:hAnsi="Arial" w:cs="Arial"/>
          <w:color w:val="333333"/>
          <w:kern w:val="0"/>
          <w:szCs w:val="21"/>
        </w:rPr>
        <w:t xml:space="preserve">　　</w:t>
      </w:r>
      <w:r w:rsidRPr="00381246">
        <w:rPr>
          <w:rFonts w:ascii="Arial" w:eastAsia="宋体" w:hAnsi="Arial" w:cs="Arial"/>
          <w:color w:val="333333"/>
          <w:kern w:val="0"/>
          <w:szCs w:val="21"/>
        </w:rPr>
        <w:t>36</w:t>
      </w:r>
      <w:r w:rsidRPr="00381246">
        <w:rPr>
          <w:rFonts w:ascii="Arial" w:eastAsia="宋体" w:hAnsi="Arial" w:cs="Arial"/>
          <w:color w:val="333333"/>
          <w:kern w:val="0"/>
          <w:szCs w:val="21"/>
        </w:rPr>
        <w:t>、加强指导服务。各县（市、区）政府及农业产业化主管部门要加强对农业产业化工作的指导、协调和服务，建立龙头企业联系制度，加强对重点龙头企业的跟踪和服务，督促各项扶持政策落实，及时协调解决企业发展中的重大问题。各相关部门也要切实履行职责，加强合作与协调，努力形成各方支持龙头企业发展的工作合力。</w:t>
      </w:r>
      <w:r w:rsidRPr="00381246">
        <w:rPr>
          <w:rFonts w:ascii="Arial" w:eastAsia="宋体" w:hAnsi="Arial" w:cs="Arial"/>
          <w:color w:val="333333"/>
          <w:kern w:val="0"/>
          <w:szCs w:val="21"/>
        </w:rPr>
        <w:t> </w:t>
      </w:r>
    </w:p>
    <w:p w:rsidR="00C13C4E" w:rsidRPr="00381246" w:rsidRDefault="00C13C4E"/>
    <w:sectPr w:rsidR="00C13C4E" w:rsidRPr="00381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46"/>
    <w:rsid w:val="00381246"/>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73431-F96A-41D0-841F-10118CEE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812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1246"/>
    <w:rPr>
      <w:rFonts w:ascii="宋体" w:eastAsia="宋体" w:hAnsi="宋体" w:cs="宋体"/>
      <w:b/>
      <w:bCs/>
      <w:kern w:val="36"/>
      <w:sz w:val="48"/>
      <w:szCs w:val="48"/>
    </w:rPr>
  </w:style>
  <w:style w:type="paragraph" w:styleId="a3">
    <w:name w:val="Normal (Web)"/>
    <w:basedOn w:val="a"/>
    <w:uiPriority w:val="99"/>
    <w:semiHidden/>
    <w:unhideWhenUsed/>
    <w:rsid w:val="0038124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8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75924">
      <w:bodyDiv w:val="1"/>
      <w:marLeft w:val="0"/>
      <w:marRight w:val="0"/>
      <w:marTop w:val="0"/>
      <w:marBottom w:val="0"/>
      <w:divBdr>
        <w:top w:val="none" w:sz="0" w:space="0" w:color="auto"/>
        <w:left w:val="none" w:sz="0" w:space="0" w:color="auto"/>
        <w:bottom w:val="none" w:sz="0" w:space="0" w:color="auto"/>
        <w:right w:val="none" w:sz="0" w:space="0" w:color="auto"/>
      </w:divBdr>
      <w:divsChild>
        <w:div w:id="1388577386">
          <w:marLeft w:val="0"/>
          <w:marRight w:val="0"/>
          <w:marTop w:val="0"/>
          <w:marBottom w:val="0"/>
          <w:divBdr>
            <w:top w:val="none" w:sz="0" w:space="0" w:color="auto"/>
            <w:left w:val="none" w:sz="0" w:space="0" w:color="auto"/>
            <w:bottom w:val="none" w:sz="0" w:space="0" w:color="auto"/>
            <w:right w:val="none" w:sz="0" w:space="0" w:color="auto"/>
          </w:divBdr>
        </w:div>
        <w:div w:id="1906868212">
          <w:marLeft w:val="0"/>
          <w:marRight w:val="0"/>
          <w:marTop w:val="0"/>
          <w:marBottom w:val="0"/>
          <w:divBdr>
            <w:top w:val="none" w:sz="0" w:space="0" w:color="auto"/>
            <w:left w:val="none" w:sz="0" w:space="0" w:color="auto"/>
            <w:bottom w:val="none" w:sz="0" w:space="0" w:color="auto"/>
            <w:right w:val="none" w:sz="0" w:space="0" w:color="auto"/>
          </w:divBdr>
          <w:divsChild>
            <w:div w:id="676662376">
              <w:marLeft w:val="0"/>
              <w:marRight w:val="0"/>
              <w:marTop w:val="0"/>
              <w:marBottom w:val="0"/>
              <w:divBdr>
                <w:top w:val="none" w:sz="0" w:space="0" w:color="auto"/>
                <w:left w:val="none" w:sz="0" w:space="0" w:color="auto"/>
                <w:bottom w:val="single" w:sz="6" w:space="0" w:color="EDD2B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2018-05-15T05:52:00Z</dcterms:created>
  <dcterms:modified xsi:type="dcterms:W3CDTF">2018-05-15T05:52:00Z</dcterms:modified>
</cp:coreProperties>
</file>