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1A00D" w14:textId="77777777" w:rsidR="00DF2790" w:rsidRPr="00DF2790" w:rsidRDefault="00DF2790" w:rsidP="00DF279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C70CA"/>
          <w:kern w:val="0"/>
          <w:sz w:val="42"/>
          <w:szCs w:val="42"/>
        </w:rPr>
      </w:pPr>
      <w:bookmarkStart w:id="0" w:name="_GoBack"/>
      <w:r w:rsidRPr="00DF2790">
        <w:rPr>
          <w:rFonts w:ascii="微软雅黑" w:eastAsia="微软雅黑" w:hAnsi="微软雅黑" w:cs="宋体" w:hint="eastAsia"/>
          <w:color w:val="2C70CA"/>
          <w:kern w:val="0"/>
          <w:sz w:val="42"/>
          <w:szCs w:val="42"/>
        </w:rPr>
        <w:t>漳州市人民政府关于加快推进大众创业万众创新的若干意见</w:t>
      </w:r>
      <w:bookmarkEnd w:id="0"/>
    </w:p>
    <w:p w14:paraId="3F75FC72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  <w:bdr w:val="none" w:sz="0" w:space="0" w:color="auto" w:frame="1"/>
        </w:rPr>
        <w:t>发布时间：2017-09-12 17:15</w:t>
      </w:r>
      <w:r w:rsidRPr="00DF2790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  <w:bdr w:val="none" w:sz="0" w:space="0" w:color="auto" w:frame="1"/>
        </w:rPr>
        <w:t>来源：市科技局</w:t>
      </w:r>
    </w:p>
    <w:p w14:paraId="2C6286A5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6" w:history="1">
        <w:r w:rsidRPr="00DF2790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</w:rPr>
          <w:t>Aa</w:t>
        </w:r>
      </w:hyperlink>
    </w:p>
    <w:p w14:paraId="5AD42AA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626161"/>
          <w:kern w:val="0"/>
          <w:szCs w:val="21"/>
        </w:rPr>
      </w:pPr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</w:rPr>
        <w:t>字体： </w:t>
      </w:r>
      <w:hyperlink r:id="rId7" w:history="1">
        <w:r w:rsidRPr="00DF2790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大</w:t>
        </w:r>
      </w:hyperlink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</w:rPr>
        <w:t> </w:t>
      </w:r>
      <w:hyperlink r:id="rId8" w:history="1">
        <w:r w:rsidRPr="00DF2790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中</w:t>
        </w:r>
      </w:hyperlink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</w:rPr>
        <w:t> </w:t>
      </w:r>
      <w:hyperlink r:id="rId9" w:history="1">
        <w:r w:rsidRPr="00DF2790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小</w:t>
        </w:r>
      </w:hyperlink>
    </w:p>
    <w:p w14:paraId="18742F4B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10" w:history="1">
        <w:r w:rsidRPr="00DF2790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网页纠错</w:t>
        </w:r>
      </w:hyperlink>
    </w:p>
    <w:p w14:paraId="3C470AB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626161"/>
          <w:kern w:val="0"/>
          <w:szCs w:val="21"/>
        </w:rPr>
      </w:pPr>
      <w:r w:rsidRPr="00DF2790">
        <w:rPr>
          <w:rFonts w:ascii="微软雅黑" w:eastAsia="微软雅黑" w:hAnsi="微软雅黑" w:cs="宋体" w:hint="eastAsia"/>
          <w:color w:val="626161"/>
          <w:kern w:val="0"/>
          <w:szCs w:val="21"/>
        </w:rPr>
        <w:t>分享到：</w:t>
      </w:r>
    </w:p>
    <w:p w14:paraId="0C71F5DB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各县（市、区）人民政府，漳州、常山、古雷开发区管委会，漳州台商投资区、漳州高新区管委会，市直各单位，闽南师大：</w:t>
      </w:r>
    </w:p>
    <w:p w14:paraId="0AF185F7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为加快推进“大众创业、万众创新”，打造“创业创新的活力漳州”，特提出以下意见：</w:t>
      </w:r>
    </w:p>
    <w:p w14:paraId="6EACF91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一、加快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构建众创空间</w:t>
      </w:r>
      <w:proofErr w:type="gramEnd"/>
    </w:p>
    <w:p w14:paraId="7CDC050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支持和鼓励企业、投资机构、行业组织、专业团队等投资建设或管理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运营创客空间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创业咖啡、创新工场等新型孵化载体。结合“互联网+”行动计划，支持利用大数据、云计算、移动互联网等技术和APP、微博、微信、社交网络等创新模式，提供专业化配套服务，在云媒体、3D打印、未来网络、文化创意、数字教育等新兴业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态开展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创业创新活动。</w:t>
      </w:r>
    </w:p>
    <w:p w14:paraId="1FBA9193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整合科技园区、传统孵化器、老旧厂房、闲置房屋、商业街区等资源，改造提升成为有特色、低成本、便利化、全要素、开放式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。改建或新建的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用地原属划拨国有土地，改变用途后符合规划但不符合《划拨用地目录》的，除经营性商品住宅外，可经评估后补交土地出让金，补办出让手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续；利用工业用地建设的，在不改变用途的前提下，可按幢、层、套、间等有固定界限的部分为基本单元进行登记，并依法出租或转让。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面积500平方米以上、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吸纳创客10户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以上，同级财政可按照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新建每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平方米50元、上限50万元，改扩建每平方米30元、上限30万元给予补助，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配套创客公寓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面积可一并计入总面积给予补助；对其购置用于创业服务的公共软件、开发工具和单台（套）价格3万元以上的公用设备，同级财政可给予50%的补助，最高不超过20万元。每成功孵化一家企业，且企业在本市实际注册运营一年以上的，同级财政工业发展专项资金奖励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2万元，企业存活期超过2年的，再追加奖励3万元。对获得认定的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市级众创空间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，市科技专项资金给予每家50万元的奖励。</w:t>
      </w:r>
    </w:p>
    <w:p w14:paraId="536F83C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争取全市到2016年底投入运营10家以上、2020年前建成25家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以上众创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空间，形成以点带面的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发展格局。</w:t>
      </w:r>
    </w:p>
    <w:p w14:paraId="781E444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责任单位：市科技局、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、经信委、国资委、财政局、住建局、国土局，各县（市、区）人民政府、开发区（投资区、高新区）管委会</w:t>
      </w:r>
    </w:p>
    <w:p w14:paraId="3C2F18D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二、降低创业创新门槛</w:t>
      </w:r>
    </w:p>
    <w:p w14:paraId="75D9967F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简化商事注册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审批手续，推行“三证合一、一照一码”，允许“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一址多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照”“一照多址”、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按众创空间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工位注册企业，采取业务代办、“一站式”窗口、网上申报、多证联办、快捷登记取照等措施，为创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客注册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企业提供便利。放宽企业注册资本登记条件，允许以专利权、版权、软件著作权、商标权等知识产权评估作价进行注册资本登记。</w:t>
      </w:r>
    </w:p>
    <w:p w14:paraId="376F7987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责任单位：市工商局、国税局、地税局、质监局、知识产权局、版权局</w:t>
      </w:r>
    </w:p>
    <w:p w14:paraId="4A95FF6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对创客免收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登记类、证照类、管理类行政事业性收费。事业单位开展各类行政审批前置性、强制性评估、检测、论证等收费服务的，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对创客按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不高于政府价格主管部门核定标准的50%收取。</w:t>
      </w:r>
    </w:p>
    <w:p w14:paraId="777386E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责任单位：市财政局、物价局，各县（市、区）人民政府、开发区（投资区、高新区）管委会</w:t>
      </w:r>
    </w:p>
    <w:p w14:paraId="260A40A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政府投建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，同级政府免费提供网络宽带设施、公共软件、开发工具、公共会议室、开放实验室（工作台）、休闲运动设施等，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入驻创客可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享受前2年免租金、第3-5年租金减半优惠。孵化期间（5年内）获得创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投机构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投资的科技项目直接列入市中小企业创新资金给予支持，符合《漳州市创业投资基金管理办法》（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政办〔2014〕83号）的项目经基金理事会同意后，市创业投资基金跟进投资。孵化成功的企业纳入省市中小企业发展专项资金扶持计划。非政府投建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，经认定后可由同级财政按照每平方米每月不超过20元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给予创客租金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等补贴，最长期限3年，累计最高金额5万元。</w:t>
      </w:r>
    </w:p>
    <w:p w14:paraId="725E20B3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责任单位：各县（市、区）人民政府、开发区（投资区、高新区）管委会，市经信委、金融办、科技局</w:t>
      </w:r>
    </w:p>
    <w:p w14:paraId="2019666B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三、拓展</w:t>
      </w:r>
      <w:proofErr w:type="gramStart"/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众创服务</w:t>
      </w:r>
      <w:proofErr w:type="gramEnd"/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领域</w:t>
      </w:r>
    </w:p>
    <w:p w14:paraId="097AE639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依托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育一批创业创新服务中介机构，为创客提供办公配套、政策咨询、市场营销、法律事务、会计事务、投融资对接、知识产权事务、认证检测、人才培训等“一站式”服务，促进创新与创业、线上与线下、孵化与投资深度融合。</w:t>
      </w:r>
    </w:p>
    <w:p w14:paraId="4ADED9E5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建立创业导师制度，支持各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类创业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服务平台聘请创业成功者、天使投资人、优秀企业家、知名专家学者等组建高端化的创业导师团队，提供创业培训、技术辅导、创投对接等服务。</w:t>
      </w:r>
    </w:p>
    <w:p w14:paraId="625A011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引导和支持高校、科研所、重点实验室、工程技术研究中心等，利用现有科研设施、仪器设备、科技文献等资源以成本价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向创客开放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，或进驻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设立应用研究和技术转移机构等公共服务平台。</w:t>
      </w:r>
    </w:p>
    <w:p w14:paraId="31E842C5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责任单位：各县（市、区）人民政府、开发区（投资区、高新区）管委会，市科技局、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、经信委</w:t>
      </w:r>
    </w:p>
    <w:p w14:paraId="365645A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四、支持各类人群创业</w:t>
      </w:r>
    </w:p>
    <w:p w14:paraId="26B9DE99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科技人员创业创新。高校、科研所要将从事创业创新活动的业绩作为职称评定、岗位聘用、绩效考核的重要依据，转化职务科技成果收益可由重要贡献人员、所属单位约定分配，未约定的按不低于50%比例提取转化收益用于奖励重要贡献人员及团队。高校、科研所以股份或出资比例等股权形式给予个人奖励，经确认后暂不征收个人所得税，待其转让该股权时再计征。</w:t>
      </w:r>
    </w:p>
    <w:p w14:paraId="439D5465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建立科研人员双向流动机制。加快落实国有企事业单位科研人员离岗创业政策，经同意离岗的可在3年内保留人事关系，并与原单位其他在岗人员同等享有参加职称评定、社会保险等方面的待遇，3年内要求返回原单位的，按原职级待遇安排工作。高校科研所科研人员创业，经同意的可参照执行。</w:t>
      </w:r>
    </w:p>
    <w:p w14:paraId="05BB851B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人社局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、教育局、国资委、国税局、地税局</w:t>
      </w:r>
    </w:p>
    <w:p w14:paraId="05EE0B3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育大学生、留学生等青年创业创新主体。鼓励高校、职业学校、技工院校开设创业创新培训课程，建立健全弹性学制管理办法，将高校毕业生自主创业扶持政策范围延伸至普通高校在校大学生；在校大学生利用弹性学制休学创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业的视为参加实践教育，并计入实践学分；教师带领或辅导学生创业，在绩效考核上给予加分，在职称评定、岗位聘用时同等情况下优先考虑。同等情况下，大学生、留学生优先安排入驻政府投建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，优先享受各类资金扶持。教育部门要多渠道筹措经费，支持大学生创业创新教育与指导。</w:t>
      </w:r>
    </w:p>
    <w:p w14:paraId="18301AFD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责任单位：市教育局、团市委</w:t>
      </w:r>
    </w:p>
    <w:p w14:paraId="08881AA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创建对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台特色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创业基地。鼓励台湾青年、科技人员、创业导师及专业服务机构来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创业，对台湾来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创办的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或吸纳台湾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籍创客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5户以上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，申请市级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认定可适当放宽标准。符合台湾青年创业基地扶持条件的，可享受其优惠措施。</w:t>
      </w:r>
    </w:p>
    <w:p w14:paraId="6872473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责任单位：市台办、科技局、团市委</w:t>
      </w:r>
    </w:p>
    <w:p w14:paraId="0323C435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支持妇女、农村创业。结合地域经济特色及其创业特点，通过政策扶持、培训促进、互帮互助，拓展妇女、农村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等创业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领域、平台和途径。鼓励建设返乡创业园、农村互联网创业园，以土地租赁方式建设的，形成的固定资产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归建设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方所有。</w:t>
      </w:r>
    </w:p>
    <w:p w14:paraId="0E2ADEF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责任单位：市妇联、农业局、住建局、国土局、商务局</w:t>
      </w:r>
    </w:p>
    <w:p w14:paraId="1DB7E4E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支持创新型企业、高新技术企业、科技型企业等再创业，鼓励其为内部员工和外部创业者提供资金、技术和平台。</w:t>
      </w:r>
    </w:p>
    <w:p w14:paraId="32D432A1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责任单位：市科技局</w:t>
      </w:r>
    </w:p>
    <w:p w14:paraId="11A70862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五、加大财税金融扶持</w:t>
      </w:r>
    </w:p>
    <w:p w14:paraId="4FF94C6D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对符合《漳州市创业投资基金管理办法》的创业创新项目，市创业投资基金按比例参股、最高不超过200万元，引导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设立不少于300万元的种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子基金。对符合条件的初创项目给予额度不超过10万元、期限不超过2年的投资。</w:t>
      </w:r>
    </w:p>
    <w:p w14:paraId="29F5CD9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责任单位：市财政局、金融办、科技局</w:t>
      </w:r>
    </w:p>
    <w:p w14:paraId="55DDB59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落实企业研发投入加计扣除、高新技术企业所得税减免等税收优惠政策；推进企业转增股本分期缴纳个人所得税、股权奖励分期缴纳个人所得税；推行小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按季度申报纳税。发挥政府采购支持作用，不得以注册资本金、资产总额、营业收入、从业人员人数、利润、纳税额等规模条件设置政府采购准入条件。</w:t>
      </w:r>
    </w:p>
    <w:p w14:paraId="358CF6A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责任单位：市国税局、地税局、财政局、科技局、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、经信委、国资委</w:t>
      </w:r>
    </w:p>
    <w:p w14:paraId="7BDECAAA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鼓励社会资本发起天使投资、创业投资、股权投资等基金，建立创业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创新众筹平台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，探索开展互联网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股权众筹融资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、创新产品网络众筹、中小企业集合债券、小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微企业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应急互助基金。支持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众创空间在孵企业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市融资、挂牌交易，同级财政企业上市专项资金对在主板、中小板、创业板、新三板和海峡股权交易中心挂牌交易的创客，在现有奖励标准的基础上追加不超过30万元奖励，同时给予增信支持。政府主导的融资担保公司要积极为有融资需求但缺少抵质押、担保的中小微科技型企业提供增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信支持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和风险保障，对符合担保条件且创投、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风投机构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投资的初创期、成长期科技企业，按其获得投资额的50%、最高不超过500万元的标准给予贷款担保，并由同级财政给予担保费补贴。发挥科技金融服务中心作用，入驻市级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众创空间的创客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需贷款的，可综合打包以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为单位视同科技型企业给予贷款利率优惠。加强知识产权保护，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鼓励创客发明创造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，对获得专利权的由同级财政给予奖励，发明专利每件5000～50000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元、实用新型专利每件1000～5000元、外观设计专利每件500～2000元。支持使用专利技术进行质押贷款、入股、转让，同时纳入我市专利产业化扶持项目给予支持。</w:t>
      </w:r>
    </w:p>
    <w:p w14:paraId="2D11DAD6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市发改委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、经信委、金融办、人民银行、银监局、财政局、科技局、知识产权局</w:t>
      </w:r>
    </w:p>
    <w:p w14:paraId="21051FFB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六、营造创新创业氛围</w:t>
      </w:r>
    </w:p>
    <w:p w14:paraId="5CA8AAA9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组织办好“漳州市创业创新大赛”“海峡两岸（漳州）工业设计创新大赛”“漳州市青年创业大赛”。支持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众创空间举办路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演、比赛、沙龙、论坛、训练营等系列活动，为创客搭建交流平台，并根据其规模和影响力给予适当后补助。大力支持引进国内外知名创业活动，按照“一事一议”给予支持。加强媒体宣传和舆论引导，大力倡导“敢为人先、宽容失败”的创业创新文化，报道先进事迹，树立典型人物，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培育创客文化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极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客精神，营造自由宽松的创业环境，让创新创业在全社会蔚然成风。</w:t>
      </w:r>
    </w:p>
    <w:p w14:paraId="4DA8045D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责任单位：市科技局、经信委、财政局、市委宣传部、团市委</w:t>
      </w:r>
    </w:p>
    <w:p w14:paraId="41BC3E00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七、加强工作组织推动</w:t>
      </w:r>
    </w:p>
    <w:p w14:paraId="6DA35426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建立由市政府领导牵头，市科技局、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发改委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、经信委、财政局、</w:t>
      </w:r>
      <w:proofErr w:type="gramStart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人社局</w:t>
      </w:r>
      <w:proofErr w:type="gramEnd"/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住建局、国土局、工商局、国税局、地税局、教育局、国资委、团市委、台办、妇联、人民银行、银监局、金融办等相关部门参与的联席会议制度，负责全市创业创新工作组织与协调，及时解决存在问题。推行各项补助申领“告知承诺制”和“失信惩戒制”，确保财政资金效益最大化。各相关部门要积极争取国家、省级各类政策、资金支持。各县（市、区）、开发区（投资区、高新区）、各部门要按照职能分工，结合各自实际制定具体实施方案，积极落实上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述各项政策措施，明确目标任务，落实责任分工，密切互动联动，确保政策措施取得实效。</w:t>
      </w:r>
    </w:p>
    <w:p w14:paraId="2DE020F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本意见由市科技局负责组织实施，自印发之日起实行，有效期五年。</w:t>
      </w:r>
    </w:p>
    <w:p w14:paraId="0A5D00E4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           </w:t>
      </w:r>
    </w:p>
    <w:p w14:paraId="2CF7F2E9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                      </w:t>
      </w:r>
    </w:p>
    <w:p w14:paraId="3F2EA472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漳州市人民政府</w:t>
      </w:r>
    </w:p>
    <w:p w14:paraId="7B676E0C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2015年8月31日</w:t>
      </w:r>
    </w:p>
    <w:p w14:paraId="49F5AAE2" w14:textId="77777777" w:rsidR="00DF2790" w:rsidRPr="00DF2790" w:rsidRDefault="00DF2790" w:rsidP="00DF2790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 </w:t>
      </w:r>
      <w:r w:rsidRPr="00DF279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（此件主动公开）</w:t>
      </w:r>
    </w:p>
    <w:p w14:paraId="26D6E09A" w14:textId="77777777" w:rsidR="00C32529" w:rsidRPr="00DF2790" w:rsidRDefault="00C32529"/>
    <w:sectPr w:rsidR="00C32529" w:rsidRPr="00DF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D8F9" w14:textId="77777777" w:rsidR="00035A09" w:rsidRDefault="00035A09" w:rsidP="00DF2790">
      <w:r>
        <w:separator/>
      </w:r>
    </w:p>
  </w:endnote>
  <w:endnote w:type="continuationSeparator" w:id="0">
    <w:p w14:paraId="59F854A8" w14:textId="77777777" w:rsidR="00035A09" w:rsidRDefault="00035A09" w:rsidP="00DF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D005" w14:textId="77777777" w:rsidR="00035A09" w:rsidRDefault="00035A09" w:rsidP="00DF2790">
      <w:r>
        <w:separator/>
      </w:r>
    </w:p>
  </w:footnote>
  <w:footnote w:type="continuationSeparator" w:id="0">
    <w:p w14:paraId="6F6306FD" w14:textId="77777777" w:rsidR="00035A09" w:rsidRDefault="00035A09" w:rsidP="00DF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4D"/>
    <w:rsid w:val="00035A09"/>
    <w:rsid w:val="00730D4D"/>
    <w:rsid w:val="00C32529"/>
    <w:rsid w:val="00D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17D5F-735B-4B3D-AA81-F60B70F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7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20131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j.zhangzhou.gov.cn/cms/html/zzskxjsj/2017-09-12/129378849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jj.zhangzhou.gov.cn/cms/html/zzskxjsj/2017-09-12/1293788494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j.zhangzhou.gov.cn/cms/html/zzskxjsj/2017-09-12/129378849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kjj.zhangzhou.gov.cn/cms/html/zzskxjsj/2017-09-12/129378849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jj.zhangzhou.gov.cn/cms/html/zzskxjsj/2017-09-12/129378849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2019-01-17T03:21:00Z</dcterms:created>
  <dcterms:modified xsi:type="dcterms:W3CDTF">2019-01-17T03:21:00Z</dcterms:modified>
</cp:coreProperties>
</file>