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B57D2A" w:rsidRPr="00B57D2A" w:rsidTr="008C5752">
        <w:trPr>
          <w:tblCellSpacing w:w="0" w:type="dxa"/>
        </w:trPr>
        <w:tc>
          <w:tcPr>
            <w:tcW w:w="0" w:type="auto"/>
          </w:tcPr>
          <w:p w:rsidR="00B57D2A" w:rsidRPr="00B57D2A" w:rsidRDefault="00B57D2A" w:rsidP="00B57D2A">
            <w:pPr>
              <w:widowControl/>
              <w:jc w:val="center"/>
              <w:rPr>
                <w:rFonts w:ascii="Arial" w:eastAsia="宋体" w:hAnsi="Arial" w:cs="Arial"/>
                <w:color w:val="333333"/>
                <w:kern w:val="0"/>
                <w:sz w:val="18"/>
                <w:szCs w:val="18"/>
              </w:rPr>
            </w:pPr>
          </w:p>
        </w:tc>
      </w:tr>
      <w:tr w:rsidR="00B57D2A" w:rsidRPr="00B57D2A" w:rsidTr="008C5752">
        <w:trPr>
          <w:trHeight w:val="200"/>
          <w:tblCellSpacing w:w="0" w:type="dxa"/>
        </w:trPr>
        <w:tc>
          <w:tcPr>
            <w:tcW w:w="0" w:type="auto"/>
            <w:vAlign w:val="center"/>
          </w:tcPr>
          <w:p w:rsidR="00B57D2A" w:rsidRPr="00B57D2A" w:rsidRDefault="00B57D2A" w:rsidP="00B57D2A">
            <w:pPr>
              <w:widowControl/>
              <w:jc w:val="center"/>
              <w:rPr>
                <w:rFonts w:ascii="Arial" w:eastAsia="宋体" w:hAnsi="Arial" w:cs="Arial"/>
                <w:color w:val="333333"/>
                <w:kern w:val="0"/>
                <w:sz w:val="18"/>
                <w:szCs w:val="18"/>
              </w:rPr>
            </w:pPr>
          </w:p>
        </w:tc>
      </w:tr>
    </w:tbl>
    <w:p w:rsidR="00316817" w:rsidRPr="00316817" w:rsidRDefault="00316817" w:rsidP="00316817">
      <w:pPr>
        <w:widowControl/>
        <w:spacing w:line="750" w:lineRule="atLeast"/>
        <w:jc w:val="center"/>
        <w:rPr>
          <w:rFonts w:ascii="Verdana" w:eastAsia="宋体" w:hAnsi="Verdana" w:cs="宋体"/>
          <w:b/>
          <w:bCs/>
          <w:color w:val="505050"/>
          <w:kern w:val="0"/>
          <w:sz w:val="33"/>
          <w:szCs w:val="33"/>
        </w:rPr>
      </w:pPr>
      <w:bookmarkStart w:id="0" w:name="_GoBack"/>
      <w:r w:rsidRPr="00316817">
        <w:rPr>
          <w:rFonts w:ascii="Verdana" w:eastAsia="宋体" w:hAnsi="Verdana" w:cs="宋体"/>
          <w:b/>
          <w:bCs/>
          <w:color w:val="505050"/>
          <w:kern w:val="0"/>
          <w:sz w:val="33"/>
          <w:szCs w:val="33"/>
        </w:rPr>
        <w:t>曲阜市人民政府关于加快推进信息产业发展的意见（试行）</w:t>
      </w:r>
    </w:p>
    <w:bookmarkEnd w:id="0"/>
    <w:p w:rsidR="00316817" w:rsidRPr="00316817" w:rsidRDefault="00316817" w:rsidP="00316817">
      <w:pPr>
        <w:widowControl/>
        <w:shd w:val="clear" w:color="auto" w:fill="F7F7F7"/>
        <w:spacing w:line="420" w:lineRule="atLeast"/>
        <w:jc w:val="center"/>
        <w:rPr>
          <w:rFonts w:ascii="Verdana" w:eastAsia="宋体" w:hAnsi="Verdana" w:cs="宋体"/>
          <w:color w:val="505050"/>
          <w:kern w:val="0"/>
          <w:sz w:val="18"/>
          <w:szCs w:val="18"/>
        </w:rPr>
      </w:pPr>
      <w:r w:rsidRPr="00316817">
        <w:rPr>
          <w:rFonts w:ascii="Verdana" w:eastAsia="宋体" w:hAnsi="Verdana" w:cs="宋体"/>
          <w:color w:val="505050"/>
          <w:kern w:val="0"/>
          <w:sz w:val="18"/>
          <w:szCs w:val="18"/>
        </w:rPr>
        <w:t>作者：管理员</w:t>
      </w:r>
      <w:r w:rsidRPr="00316817">
        <w:rPr>
          <w:rFonts w:ascii="Verdana" w:eastAsia="宋体" w:hAnsi="Verdana" w:cs="宋体"/>
          <w:color w:val="505050"/>
          <w:kern w:val="0"/>
          <w:sz w:val="18"/>
          <w:szCs w:val="18"/>
        </w:rPr>
        <w:t xml:space="preserve">    </w:t>
      </w:r>
      <w:r w:rsidRPr="00316817">
        <w:rPr>
          <w:rFonts w:ascii="Verdana" w:eastAsia="宋体" w:hAnsi="Verdana" w:cs="宋体"/>
          <w:color w:val="505050"/>
          <w:kern w:val="0"/>
          <w:sz w:val="18"/>
          <w:szCs w:val="18"/>
        </w:rPr>
        <w:t>发布于：</w:t>
      </w:r>
      <w:r w:rsidRPr="00316817">
        <w:rPr>
          <w:rFonts w:ascii="Verdana" w:eastAsia="宋体" w:hAnsi="Verdana" w:cs="宋体"/>
          <w:color w:val="505050"/>
          <w:kern w:val="0"/>
          <w:sz w:val="18"/>
          <w:szCs w:val="18"/>
        </w:rPr>
        <w:t xml:space="preserve">2016-03-28 16:10:46    </w:t>
      </w:r>
      <w:r w:rsidRPr="00316817">
        <w:rPr>
          <w:rFonts w:ascii="Verdana" w:eastAsia="宋体" w:hAnsi="Verdana" w:cs="宋体"/>
          <w:color w:val="505050"/>
          <w:kern w:val="0"/>
          <w:sz w:val="18"/>
          <w:szCs w:val="18"/>
        </w:rPr>
        <w:t>文字：【</w:t>
      </w:r>
      <w:hyperlink r:id="rId4" w:history="1">
        <w:r w:rsidRPr="00316817">
          <w:rPr>
            <w:rFonts w:ascii="Verdana" w:eastAsia="宋体" w:hAnsi="Verdana" w:cs="宋体"/>
            <w:color w:val="505050"/>
            <w:kern w:val="0"/>
            <w:sz w:val="18"/>
            <w:szCs w:val="18"/>
          </w:rPr>
          <w:t>大</w:t>
        </w:r>
      </w:hyperlink>
      <w:r w:rsidRPr="00316817">
        <w:rPr>
          <w:rFonts w:ascii="Verdana" w:eastAsia="宋体" w:hAnsi="Verdana" w:cs="宋体"/>
          <w:color w:val="505050"/>
          <w:kern w:val="0"/>
          <w:sz w:val="18"/>
          <w:szCs w:val="18"/>
        </w:rPr>
        <w:t>】【</w:t>
      </w:r>
      <w:hyperlink r:id="rId5" w:history="1">
        <w:r w:rsidRPr="00316817">
          <w:rPr>
            <w:rFonts w:ascii="Verdana" w:eastAsia="宋体" w:hAnsi="Verdana" w:cs="宋体"/>
            <w:color w:val="505050"/>
            <w:kern w:val="0"/>
            <w:sz w:val="18"/>
            <w:szCs w:val="18"/>
          </w:rPr>
          <w:t>中</w:t>
        </w:r>
      </w:hyperlink>
      <w:r w:rsidRPr="00316817">
        <w:rPr>
          <w:rFonts w:ascii="Verdana" w:eastAsia="宋体" w:hAnsi="Verdana" w:cs="宋体"/>
          <w:color w:val="505050"/>
          <w:kern w:val="0"/>
          <w:sz w:val="18"/>
          <w:szCs w:val="18"/>
        </w:rPr>
        <w:t>】【</w:t>
      </w:r>
      <w:hyperlink r:id="rId6" w:history="1">
        <w:r w:rsidRPr="00316817">
          <w:rPr>
            <w:rFonts w:ascii="Verdana" w:eastAsia="宋体" w:hAnsi="Verdana" w:cs="宋体"/>
            <w:color w:val="505050"/>
            <w:kern w:val="0"/>
            <w:sz w:val="18"/>
            <w:szCs w:val="18"/>
          </w:rPr>
          <w:t>小</w:t>
        </w:r>
      </w:hyperlink>
      <w:r w:rsidRPr="00316817">
        <w:rPr>
          <w:rFonts w:ascii="Verdana" w:eastAsia="宋体" w:hAnsi="Verdana" w:cs="宋体"/>
          <w:color w:val="505050"/>
          <w:kern w:val="0"/>
          <w:sz w:val="18"/>
          <w:szCs w:val="18"/>
        </w:rPr>
        <w:t>】</w:t>
      </w:r>
    </w:p>
    <w:p w:rsidR="00316817" w:rsidRPr="00316817" w:rsidRDefault="00316817" w:rsidP="00316817">
      <w:pPr>
        <w:widowControl/>
        <w:spacing w:before="100" w:beforeAutospacing="1" w:after="100" w:afterAutospacing="1" w:line="525" w:lineRule="atLeast"/>
        <w:jc w:val="left"/>
        <w:rPr>
          <w:rFonts w:ascii="Verdana" w:eastAsia="宋体" w:hAnsi="Verdana" w:cs="宋体"/>
          <w:color w:val="505050"/>
          <w:kern w:val="0"/>
          <w:szCs w:val="21"/>
        </w:rPr>
      </w:pPr>
      <w:r w:rsidRPr="00316817">
        <w:rPr>
          <w:rFonts w:ascii="微软雅黑" w:eastAsia="微软雅黑" w:hAnsi="微软雅黑" w:cs="宋体"/>
          <w:color w:val="505050"/>
          <w:kern w:val="0"/>
          <w:sz w:val="24"/>
          <w:szCs w:val="24"/>
        </w:rPr>
        <w:t>各镇人民政府、街道办事处，市政府各部门，各有关企业：</w:t>
      </w:r>
      <w:r w:rsidRPr="00316817">
        <w:rPr>
          <w:rFonts w:ascii="微软雅黑" w:eastAsia="微软雅黑" w:hAnsi="微软雅黑" w:cs="宋体"/>
          <w:color w:val="505050"/>
          <w:kern w:val="0"/>
          <w:sz w:val="24"/>
          <w:szCs w:val="24"/>
        </w:rPr>
        <w:br/>
        <w:t>      为加快推进信息产业发展，促进全市经济转型升级，构建现代产业体系，特制定如下意见。</w:t>
      </w:r>
      <w:r w:rsidRPr="00316817">
        <w:rPr>
          <w:rFonts w:ascii="微软雅黑" w:eastAsia="微软雅黑" w:hAnsi="微软雅黑" w:cs="宋体"/>
          <w:color w:val="505050"/>
          <w:kern w:val="0"/>
          <w:sz w:val="24"/>
          <w:szCs w:val="24"/>
        </w:rPr>
        <w:br/>
        <w:t>      一、指导思想和发展目标</w:t>
      </w:r>
      <w:r w:rsidRPr="00316817">
        <w:rPr>
          <w:rFonts w:ascii="微软雅黑" w:eastAsia="微软雅黑" w:hAnsi="微软雅黑" w:cs="宋体"/>
          <w:color w:val="505050"/>
          <w:kern w:val="0"/>
          <w:sz w:val="24"/>
          <w:szCs w:val="24"/>
        </w:rPr>
        <w:br/>
        <w:t>      1.指导思想。坚持把发展信息产业作为我市加快工业经济转型升级的重要突破口和战略选择，一手抓改造提升现有企业优化存量，一手抓招商引资扩大增量，加快发展电子信息制造业，大力推进两化融合，积极发展电子商务和信息服务业，搭建信息化产业平台，集聚全市要素资源，构建“两个园区带动、六大产业支撑”的产业布局，真正把信息产业培育成为主导产业，推动全市经济持续健康发展。</w:t>
      </w:r>
      <w:r w:rsidRPr="00316817">
        <w:rPr>
          <w:rFonts w:ascii="微软雅黑" w:eastAsia="微软雅黑" w:hAnsi="微软雅黑" w:cs="宋体"/>
          <w:color w:val="505050"/>
          <w:kern w:val="0"/>
          <w:sz w:val="24"/>
          <w:szCs w:val="24"/>
        </w:rPr>
        <w:br/>
        <w:t>      2.发展目标。到2020年，全市信息产业销售收入突破200亿元，其中软件和信息服务业10亿元，电子商务业实现20亿元，电子信息制造业170亿元。规模以上企业达到60家，其中销售收入过30亿元企业2家，过10亿元企业10家，过亿元企业30家；形成具备较强竞争力的创新型中小企业130家以上，确立信息产业在全市经济中的主导地位，真正形成以园区为载体，以物联网、软件服务、电子商务、电子信息制造为代表的多元化信息产业发展模式，努力把我市打造成全省乃至全国信息产业发展高地。</w:t>
      </w:r>
      <w:r w:rsidRPr="00316817">
        <w:rPr>
          <w:rFonts w:ascii="微软雅黑" w:eastAsia="微软雅黑" w:hAnsi="微软雅黑" w:cs="宋体"/>
          <w:color w:val="505050"/>
          <w:kern w:val="0"/>
          <w:sz w:val="24"/>
          <w:szCs w:val="24"/>
        </w:rPr>
        <w:br/>
        <w:t>      ——产业集聚：以龙头企业为带动，以产业基地为支撑，建设“两个园</w:t>
      </w:r>
      <w:r w:rsidRPr="00316817">
        <w:rPr>
          <w:rFonts w:ascii="微软雅黑" w:eastAsia="微软雅黑" w:hAnsi="微软雅黑" w:cs="宋体"/>
          <w:color w:val="505050"/>
          <w:kern w:val="0"/>
          <w:sz w:val="24"/>
          <w:szCs w:val="24"/>
        </w:rPr>
        <w:lastRenderedPageBreak/>
        <w:t>区”，发展壮大6大信息产业。</w:t>
      </w:r>
      <w:r w:rsidRPr="00316817">
        <w:rPr>
          <w:rFonts w:ascii="微软雅黑" w:eastAsia="微软雅黑" w:hAnsi="微软雅黑" w:cs="宋体"/>
          <w:color w:val="505050"/>
          <w:kern w:val="0"/>
          <w:sz w:val="24"/>
          <w:szCs w:val="24"/>
        </w:rPr>
        <w:br/>
        <w:t>      ——基础设施：进一步完善信息通信基础设施建设，实现随时、随地、随需的宽带接入；全市家庭宽带普及率达到80%，基本实现百兆家庭宽带接入能力；加快移动通信网和WLAN网络建设，实现WLAN网络与3G、4G网络的无缝对接。</w:t>
      </w:r>
      <w:r w:rsidRPr="00316817">
        <w:rPr>
          <w:rFonts w:ascii="微软雅黑" w:eastAsia="微软雅黑" w:hAnsi="微软雅黑" w:cs="宋体"/>
          <w:color w:val="505050"/>
          <w:kern w:val="0"/>
          <w:sz w:val="24"/>
          <w:szCs w:val="24"/>
        </w:rPr>
        <w:br/>
        <w:t>      ——技术创新：到2020年，企业技术中心发展到33家，其中国家级企业技术中心3家，省级企业技术中心10家，济宁市级企业技术中心20家；国家工程实验室3家，院士工作站3家，博士后流动工作站3家，产学研合作基地达到30家，形成一批在全省乃至全国有影响力的重大创新成果、专利和标准，建成以企业为主体、市场为导向、产学研用相结合的比较完善的信息产业技术创新体系。</w:t>
      </w:r>
      <w:r w:rsidRPr="00316817">
        <w:rPr>
          <w:rFonts w:ascii="微软雅黑" w:eastAsia="微软雅黑" w:hAnsi="微软雅黑" w:cs="宋体"/>
          <w:color w:val="505050"/>
          <w:kern w:val="0"/>
          <w:sz w:val="24"/>
          <w:szCs w:val="24"/>
        </w:rPr>
        <w:br/>
        <w:t>      ——人才支撑：培养或引进10名信息产业领军人才、10个创新团队、30名企业高管和500名核心业务骨干，聚集各类高层次创业人才3000人，满足我市信息产业发展需求。</w:t>
      </w:r>
      <w:r w:rsidRPr="00316817">
        <w:rPr>
          <w:rFonts w:ascii="微软雅黑" w:eastAsia="微软雅黑" w:hAnsi="微软雅黑" w:cs="宋体"/>
          <w:color w:val="505050"/>
          <w:kern w:val="0"/>
          <w:sz w:val="24"/>
          <w:szCs w:val="24"/>
        </w:rPr>
        <w:br/>
        <w:t>      ——市场推广：到2020年，提高智能传感器、智能打印机、新一代通信用电池、智能家居等物联网和智能产品国内市场占有率，真正把曲阜打造成国家级物联网产业示范园。</w:t>
      </w:r>
      <w:r w:rsidRPr="00316817">
        <w:rPr>
          <w:rFonts w:ascii="微软雅黑" w:eastAsia="微软雅黑" w:hAnsi="微软雅黑" w:cs="宋体"/>
          <w:color w:val="505050"/>
          <w:kern w:val="0"/>
          <w:sz w:val="24"/>
          <w:szCs w:val="24"/>
        </w:rPr>
        <w:br/>
        <w:t>       ——招商引资：重点引进世界500强信息产业企业、中国信息百强企业等行业龙头企业；到2020年，争取引进2-3家具有国际影响力的先进信息企业；实现10家以上信息产业企业与国内外大型企业的合资合作。</w:t>
      </w:r>
      <w:r w:rsidRPr="00316817">
        <w:rPr>
          <w:rFonts w:ascii="微软雅黑" w:eastAsia="微软雅黑" w:hAnsi="微软雅黑" w:cs="宋体"/>
          <w:color w:val="505050"/>
          <w:kern w:val="0"/>
          <w:sz w:val="24"/>
          <w:szCs w:val="24"/>
        </w:rPr>
        <w:br/>
        <w:t>      ——应用示范：开展国家智慧城市试点示范工作，推进山东省信息消费试点市建设，提升信息消费水平；推动重点领域的物联网示范应用取得丰硕成</w:t>
      </w:r>
      <w:r w:rsidRPr="00316817">
        <w:rPr>
          <w:rFonts w:ascii="微软雅黑" w:eastAsia="微软雅黑" w:hAnsi="微软雅黑" w:cs="宋体"/>
          <w:color w:val="505050"/>
          <w:kern w:val="0"/>
          <w:sz w:val="24"/>
          <w:szCs w:val="24"/>
        </w:rPr>
        <w:lastRenderedPageBreak/>
        <w:t>果；移动互联网应用基本普及，电信网、互联网和广电网三网融合程度居济宁乃至全省前列。</w:t>
      </w:r>
      <w:r w:rsidRPr="00316817">
        <w:rPr>
          <w:rFonts w:ascii="微软雅黑" w:eastAsia="微软雅黑" w:hAnsi="微软雅黑" w:cs="宋体"/>
          <w:color w:val="505050"/>
          <w:kern w:val="0"/>
          <w:sz w:val="24"/>
          <w:szCs w:val="24"/>
        </w:rPr>
        <w:br/>
        <w:t>      二、发展重点和规划布局</w:t>
      </w:r>
      <w:r w:rsidRPr="00316817">
        <w:rPr>
          <w:rFonts w:ascii="微软雅黑" w:eastAsia="微软雅黑" w:hAnsi="微软雅黑" w:cs="宋体"/>
          <w:color w:val="505050"/>
          <w:kern w:val="0"/>
          <w:sz w:val="24"/>
          <w:szCs w:val="24"/>
        </w:rPr>
        <w:br/>
        <w:t>      进一步加强产业规划、科学布局，在全市构建“两个园区带动，六大产业支撑”的信息产业发展格局。</w:t>
      </w:r>
      <w:r w:rsidRPr="00316817">
        <w:rPr>
          <w:rFonts w:ascii="微软雅黑" w:eastAsia="微软雅黑" w:hAnsi="微软雅黑" w:cs="宋体"/>
          <w:color w:val="505050"/>
          <w:kern w:val="0"/>
          <w:sz w:val="24"/>
          <w:szCs w:val="24"/>
        </w:rPr>
        <w:br/>
        <w:t>      “两个园区”即把台湾信息产业园、高新区信息产业园打造成为全市信息产业集聚区。</w:t>
      </w:r>
      <w:r w:rsidRPr="00316817">
        <w:rPr>
          <w:rFonts w:ascii="微软雅黑" w:eastAsia="微软雅黑" w:hAnsi="微软雅黑" w:cs="宋体"/>
          <w:color w:val="505050"/>
          <w:kern w:val="0"/>
          <w:sz w:val="24"/>
          <w:szCs w:val="24"/>
        </w:rPr>
        <w:br/>
        <w:t>台湾信息产业园充分利用和依托园区现有电子信息制造企业，通过招商引资、技改扩能、科技创新等，拉长延伸产业链条，将其打造成为全省乃至全国的电子信息制造业高地，成为我市电子信息制造业的“核心”。到2020年，总产值达到100亿元。</w:t>
      </w:r>
      <w:r w:rsidRPr="00316817">
        <w:rPr>
          <w:rFonts w:ascii="微软雅黑" w:eastAsia="微软雅黑" w:hAnsi="微软雅黑" w:cs="宋体"/>
          <w:color w:val="505050"/>
          <w:kern w:val="0"/>
          <w:sz w:val="24"/>
          <w:szCs w:val="24"/>
        </w:rPr>
        <w:br/>
        <w:t>       高新区信息产业园坚持“产城一体、区镇合一”的发展模式，进一步完善园区内配套设施，提升园区项目承载能力和服务能力。加强招商引资，建设IT人才实训中心、软件研发测试中心等公共服务平台，培育信息产业孵化基地。强化招才引智，促使高端人才、技术研发、创投基金、创新平台、知识产权等各类要素加速聚集，提升园区承接城市软件服务外包和应用产业转移项目能力。到2020年，总产值达到20亿元。</w:t>
      </w:r>
      <w:r w:rsidRPr="00316817">
        <w:rPr>
          <w:rFonts w:ascii="微软雅黑" w:eastAsia="微软雅黑" w:hAnsi="微软雅黑" w:cs="宋体"/>
          <w:color w:val="505050"/>
          <w:kern w:val="0"/>
          <w:sz w:val="24"/>
          <w:szCs w:val="24"/>
        </w:rPr>
        <w:br/>
        <w:t>      “六大产业”即以现有龙头企业和主导产品为基础，围绕企业做大做强、产品做特做优、产业链条完善，逐步打造以行业龙头企业为带动、多个企业齐头并进的特色产业体系：</w:t>
      </w:r>
      <w:r w:rsidRPr="00316817">
        <w:rPr>
          <w:rFonts w:ascii="微软雅黑" w:eastAsia="微软雅黑" w:hAnsi="微软雅黑" w:cs="宋体"/>
          <w:color w:val="505050"/>
          <w:kern w:val="0"/>
          <w:sz w:val="24"/>
          <w:szCs w:val="24"/>
        </w:rPr>
        <w:br/>
        <w:t>      1.半导体产业。以晶导微电子为主导，加快投资建设半导体SMD器件生产项目，利用2-3年时间将晶导微电子打造成销售收入过10亿元的大型电子</w:t>
      </w:r>
      <w:r w:rsidRPr="00316817">
        <w:rPr>
          <w:rFonts w:ascii="微软雅黑" w:eastAsia="微软雅黑" w:hAnsi="微软雅黑" w:cs="宋体"/>
          <w:color w:val="505050"/>
          <w:kern w:val="0"/>
          <w:sz w:val="24"/>
          <w:szCs w:val="24"/>
        </w:rPr>
        <w:lastRenderedPageBreak/>
        <w:t>模块生产制造企业。同时，推进项目集中、企业集聚，着力引进一批芯片设计、晶圆生产、芯片包装测试等相关企业，打造集半导体设计、代工、测试、销售、售后于一体的完整产业链。到2020年，半导体产业总产值达到40亿元。</w:t>
      </w:r>
      <w:r w:rsidRPr="00316817">
        <w:rPr>
          <w:rFonts w:ascii="微软雅黑" w:eastAsia="微软雅黑" w:hAnsi="微软雅黑" w:cs="宋体"/>
          <w:color w:val="505050"/>
          <w:kern w:val="0"/>
          <w:sz w:val="24"/>
          <w:szCs w:val="24"/>
        </w:rPr>
        <w:br/>
        <w:t>      2.汽车传感器产业。以天博汽配为龙头，围绕各种传感网的集成与感知技术的研发，加快发展性能优良、技术先进、功能齐全的位置传感器、压力传感器、速度传感器、氧传感器、温度传感器等产品。到2020年，汽车传感器产业总产值达到30亿元。</w:t>
      </w:r>
      <w:r w:rsidRPr="00316817">
        <w:rPr>
          <w:rFonts w:ascii="微软雅黑" w:eastAsia="微软雅黑" w:hAnsi="微软雅黑" w:cs="宋体"/>
          <w:color w:val="505050"/>
          <w:kern w:val="0"/>
          <w:sz w:val="24"/>
          <w:szCs w:val="24"/>
        </w:rPr>
        <w:br/>
        <w:t>      3.智能控制系统产业。以东宏集团为龙头，加强与科研院所和高校的协同创新，开发数字化智能管道安全预警监控系统。加快天工石油、济开电气等智能控制系统产品企业的技术研发，扩大应用范围，扩张企业规模，逐步形成集感知、传输和控制为一体的物联网控制应用产品产业集群。到2020年，智能控制系统产业总产值达到40亿元。</w:t>
      </w:r>
      <w:r w:rsidRPr="00316817">
        <w:rPr>
          <w:rFonts w:ascii="微软雅黑" w:eastAsia="微软雅黑" w:hAnsi="微软雅黑" w:cs="宋体"/>
          <w:color w:val="505050"/>
          <w:kern w:val="0"/>
          <w:sz w:val="24"/>
          <w:szCs w:val="24"/>
        </w:rPr>
        <w:br/>
        <w:t>      4.机电产品产业。以圣阳电源为龙头，重点围绕通信、储能、动力电源等新一代产品和铅炭技术研发与生产，推进圣阳电源新能源系统集成解决方案的升级。帮助扶持兴宇新能源、亿能电源等一批成长性好的新能源企业加速膨胀，形成新能源产业的聚集效应。以鲁强电缆为载体，推进光电缆制造与管理信息化融合项目建设，加快以光纤复合中压电缆、宽带数字通信电缆、4G通信机房用阻燃智能电缆等新一代基站用通信电缆产品的研发和生产。到2020年，机电产品产业总产值达到50亿元。</w:t>
      </w:r>
      <w:r w:rsidRPr="00316817">
        <w:rPr>
          <w:rFonts w:ascii="微软雅黑" w:eastAsia="微软雅黑" w:hAnsi="微软雅黑" w:cs="宋体"/>
          <w:color w:val="505050"/>
          <w:kern w:val="0"/>
          <w:sz w:val="24"/>
          <w:szCs w:val="24"/>
        </w:rPr>
        <w:br/>
        <w:t>      5.电力电子产业。以华能电气为主导，借助国家大力推进特高压和智能电网建设的机遇，采用国内先进的智能化新技术、新材料、新设备，以智能自动</w:t>
      </w:r>
      <w:r w:rsidRPr="00316817">
        <w:rPr>
          <w:rFonts w:ascii="微软雅黑" w:eastAsia="微软雅黑" w:hAnsi="微软雅黑" w:cs="宋体"/>
          <w:color w:val="505050"/>
          <w:kern w:val="0"/>
          <w:sz w:val="24"/>
          <w:szCs w:val="24"/>
        </w:rPr>
        <w:lastRenderedPageBreak/>
        <w:t>化系统、智能在线监测系统等信息化系统为支撑，开发高压智能型电力设备。加快推进嘉信电气、博诚电气等变频企业的发展，推动智能变频器在石油、矿山、食品加工等各行业的广泛应用。到2020年，电力电子产业总产值达到20亿元。  </w:t>
      </w:r>
      <w:r w:rsidRPr="00316817">
        <w:rPr>
          <w:rFonts w:ascii="微软雅黑" w:eastAsia="微软雅黑" w:hAnsi="微软雅黑" w:cs="宋体"/>
          <w:color w:val="505050"/>
          <w:kern w:val="0"/>
          <w:sz w:val="24"/>
          <w:szCs w:val="24"/>
        </w:rPr>
        <w:br/>
        <w:t>      6.电子商务产业。依托孔子商贸城、文化产业园等专业市场和园区，通过社会融资、招商引资等方式，规划建设电子商务园区，引导电子商务企业和创客入驻，集聚仓储、快递、运营、电商培训、信息软件、设计研发等业态，推动网商和电子商务服务商集聚和互动，打造大众创业、万众创新的孵化器。鼓励现有企业拓展电子商务业务，建设电子商务平台，开展网络营销，实现线上线下业务同步推进；重点加快天博公司1+N电子商务平台、韩衣库商贸公司商务平台建设，形成示范带动效应。大力发展“淘宝村”，加强电商知识推广，引导群众依托我市文化礼品、工艺品及特色农产品等加工制造优势，开展网上创业，重点培育壮大省电子商务专业村林前社区网店数量和交易规模，提高网商信誉和知名度，积极申报“淘宝村”认定。加大招商引资力度，吸引国内知名电商企业入驻，借助其成功经验和技术支撑，推动电子商务产业集聚发展，促进传统产业集中孵化电子商务，把曲阜建设成为鲁西南规模最大、配套最完善的电商产业发展高地。到2020年，电子商务产业总产值达到20亿元。   </w:t>
      </w:r>
      <w:r w:rsidRPr="00316817">
        <w:rPr>
          <w:rFonts w:ascii="微软雅黑" w:eastAsia="微软雅黑" w:hAnsi="微软雅黑" w:cs="宋体"/>
          <w:color w:val="505050"/>
          <w:kern w:val="0"/>
          <w:sz w:val="24"/>
          <w:szCs w:val="24"/>
        </w:rPr>
        <w:br/>
        <w:t>      三、组织实施和保障措施</w:t>
      </w:r>
      <w:r w:rsidRPr="00316817">
        <w:rPr>
          <w:rFonts w:ascii="微软雅黑" w:eastAsia="微软雅黑" w:hAnsi="微软雅黑" w:cs="宋体"/>
          <w:color w:val="505050"/>
          <w:kern w:val="0"/>
          <w:sz w:val="24"/>
          <w:szCs w:val="24"/>
        </w:rPr>
        <w:br/>
        <w:t>      （一）设立专项扶持资金。1.设立4000万元信息产业发展引导基金。按照“政府引导、市场运作、专业管理、防范风险”的原则，重点支持符合我市信息产业发展方向的重大项目和处于初创期、成长期的科技型、创新型企业。</w:t>
      </w:r>
      <w:r w:rsidRPr="00316817">
        <w:rPr>
          <w:rFonts w:ascii="微软雅黑" w:eastAsia="微软雅黑" w:hAnsi="微软雅黑" w:cs="宋体"/>
          <w:color w:val="505050"/>
          <w:kern w:val="0"/>
          <w:sz w:val="24"/>
          <w:szCs w:val="24"/>
        </w:rPr>
        <w:lastRenderedPageBreak/>
        <w:t>主要采取股权或债权投资方式，与市内外社会资本及其他政府资金合作设立或以增资方式参股产业投资、创业投资等各类信息产业股（债）权投资基金，实行差异化投资回报（信息产业发展引导基金管理暂行办法另行制订）。2.设立信息产业发展专项资金。市财政每年列支2000万元用于信息产业企业发展、项目奖励补贴、贷款贴息及信息平台建设等。</w:t>
      </w:r>
      <w:r w:rsidRPr="00316817">
        <w:rPr>
          <w:rFonts w:ascii="微软雅黑" w:eastAsia="微软雅黑" w:hAnsi="微软雅黑" w:cs="宋体"/>
          <w:color w:val="505050"/>
          <w:kern w:val="0"/>
          <w:sz w:val="24"/>
          <w:szCs w:val="24"/>
        </w:rPr>
        <w:br/>
        <w:t>      （二）支持信息产业做大做强。1.在我市注册的电子信息制造企业，年主营业务收入（不含关联业务）首次突破5000万元、10000万元、50000万元的，分别给予一次性奖励20万元、50万元、200万元。2.对大力发展电子商务的“淘宝村”“淘宝商城”，经认定可给予一定奖励。3.市发改、经信、科技、财政、住建、商务等有关部门，要认真研究上级信息产业发展政策，积极争取我市更多的项目纳入上级专项扶持、重点支持。对纳入上级专项重点扶持的信息产业项目，按上级资助金额的2%给予部门奖励。</w:t>
      </w:r>
      <w:r w:rsidRPr="00316817">
        <w:rPr>
          <w:rFonts w:ascii="微软雅黑" w:eastAsia="微软雅黑" w:hAnsi="微软雅黑" w:cs="宋体"/>
          <w:color w:val="505050"/>
          <w:kern w:val="0"/>
          <w:sz w:val="24"/>
          <w:szCs w:val="24"/>
        </w:rPr>
        <w:br/>
        <w:t>      （三）大力引进信息产业龙头企业。1.支持跨国信息产业企业、央企、大型企业集团在我市设立企业总部或研发机构，按照“一事一议”方式，给予一次性奖励和重点扶持。一次性奖励最高不超过1000万元。2.对通过招商引资落户我市、符合我市信息产业发展方向、具有龙头带动作用或在拉长产业链中起到关键作用、技术领先的重大电子信息制造项目，按照“一事一议”方式，给予重点扶持。除安排信息产业发展引导基金参与项目股权、债权投资和土地入股外，积极采取从市电子信息产业发展专项资金中列支、市级和园区投融资公司出资、鼓励社会资本参与或PPP合作投资等多种方式，为项目代建标准厂房和部分基础设施，由项目方租用或回购。对社会资本（包括工业企业、房地产企业、个人等）参与代建标准厂房的，市财政给予适当补贴（补贴标准和办</w:t>
      </w:r>
      <w:r w:rsidRPr="00316817">
        <w:rPr>
          <w:rFonts w:ascii="微软雅黑" w:eastAsia="微软雅黑" w:hAnsi="微软雅黑" w:cs="宋体"/>
          <w:color w:val="505050"/>
          <w:kern w:val="0"/>
          <w:sz w:val="24"/>
          <w:szCs w:val="24"/>
        </w:rPr>
        <w:lastRenderedPageBreak/>
        <w:t>法另行制订）。3.在我市新注册的电子商务、软件设计研发及信息服务业企业，购买自用营业用房的，按购房金额的5%给予一次性补贴，最高不超过20万元；租赁自用营业用房、面积超过500平方米（或厂房面积超过1000平方米）的，给予实际使用面积租金费用50%的补贴，资助期最长为3年，三年累计补助最高不超过20万元。4.对于本地企业引入的外地电子信息制造业项目，且项目投产后年销售收入在1亿元以上的，按照项目设备实际投资总额的3%给予一次性奖励。5.对各园区和镇街主体功能区引进的投资过1亿元的电子信息产业项目，在全年综合考核认定主导产业项目数量和投资额度时分别乘以1.5倍系数。</w:t>
      </w:r>
      <w:r w:rsidRPr="00316817">
        <w:rPr>
          <w:rFonts w:ascii="微软雅黑" w:eastAsia="微软雅黑" w:hAnsi="微软雅黑" w:cs="宋体"/>
          <w:color w:val="505050"/>
          <w:kern w:val="0"/>
          <w:sz w:val="24"/>
          <w:szCs w:val="24"/>
        </w:rPr>
        <w:br/>
        <w:t>      （四）完善服务平台建设。1.承担国家、省、济宁市级信息产业科技计划项目的单位，分别按国家、省、济宁市资助金额的15%、10%、5%进行一次性配套扶持（上级另有规定的除外）。获得国家、省、济宁市级科学技术奖的项目，分别给予30万元、20万元、10万元的一次性奖励。2.鼓励设立信息研发机构。对新认定的国家工程（技术）研究中心、国家企业技术中心、国家重点实验室、国家工程实验室等平台，给予30万元项目补助；对新认定的省级上述研发机构，给予10万元项目补助；对企业组建的信息技术公共服务平台，给予10%的补助，最高不超过10万元。3.鼓励企业引进高层次信息产业专业人才，有关扶持政策按照曲政发〔2011〕20号文件执行。</w:t>
      </w:r>
      <w:r w:rsidRPr="00316817">
        <w:rPr>
          <w:rFonts w:ascii="微软雅黑" w:eastAsia="微软雅黑" w:hAnsi="微软雅黑" w:cs="宋体"/>
          <w:color w:val="505050"/>
          <w:kern w:val="0"/>
          <w:sz w:val="24"/>
          <w:szCs w:val="24"/>
        </w:rPr>
        <w:br/>
        <w:t>      （五）鼓励信息消费。1.支持软件信息服务业发展。对通过“双软”(软件企业、软件产品)认证的本地软件企业奖励2万元。2.支持企业提高两化融合水平。对列入国家、省、济宁市信息化示范项目，以政府购买服务的方式，向信息企业购买信息技术与服务，每年选择5个信息化的示范项目给予扶持。对获</w:t>
      </w:r>
      <w:r w:rsidRPr="00316817">
        <w:rPr>
          <w:rFonts w:ascii="微软雅黑" w:eastAsia="微软雅黑" w:hAnsi="微软雅黑" w:cs="宋体"/>
          <w:color w:val="505050"/>
          <w:kern w:val="0"/>
          <w:sz w:val="24"/>
          <w:szCs w:val="24"/>
        </w:rPr>
        <w:lastRenderedPageBreak/>
        <w:t>得省级以上“两化融合”认证的企业给予10—20万元奖励；对由市内软件企业承接的信息化应用项目，资助额最高不超过10万元。对获得国家级、省级工业信息化应用试点示范的企业（数字企业），分别奖励20万元、10万元。</w:t>
      </w:r>
      <w:r w:rsidRPr="00316817">
        <w:rPr>
          <w:rFonts w:ascii="微软雅黑" w:eastAsia="微软雅黑" w:hAnsi="微软雅黑" w:cs="宋体"/>
          <w:color w:val="505050"/>
          <w:kern w:val="0"/>
          <w:sz w:val="24"/>
          <w:szCs w:val="24"/>
        </w:rPr>
        <w:br/>
        <w:t>      （六）鼓励争先创优。支持电子信息制造业、电子商务业和信息产业服务平台等发展和建设，每年按照销售收入、上缴税金、实现利润三项指标综合评选市优秀电子信息制造企业、软件研发企业、电子商务企业等企业和发展信息产业先进镇街、先进园区，予以表彰和奖励。</w:t>
      </w:r>
      <w:r w:rsidRPr="00316817">
        <w:rPr>
          <w:rFonts w:ascii="微软雅黑" w:eastAsia="微软雅黑" w:hAnsi="微软雅黑" w:cs="宋体"/>
          <w:color w:val="505050"/>
          <w:kern w:val="0"/>
          <w:sz w:val="24"/>
          <w:szCs w:val="24"/>
        </w:rPr>
        <w:br/>
        <w:t>      （七）涉及同类事项，已享受曲阜市级相关产业政策的，不再重复支持。当年凡涉及“一票否决”事项的，不予支持。</w:t>
      </w:r>
      <w:r w:rsidRPr="00316817">
        <w:rPr>
          <w:rFonts w:ascii="微软雅黑" w:eastAsia="微软雅黑" w:hAnsi="微软雅黑" w:cs="宋体"/>
          <w:color w:val="505050"/>
          <w:kern w:val="0"/>
          <w:sz w:val="24"/>
          <w:szCs w:val="24"/>
        </w:rPr>
        <w:br/>
        <w:t>      （八）成立由市政府主要领导任组长，分管领导为副组长，市相关部门主要负责同志为成员的市信息产业发展领导小组，统筹协调相关各项工作。领导小组下设办公室，办公室设在市经信局，负责推进落实全市信息产业发展年度工作计划，协调解决产业运行和重点项目建设中的突出矛盾和问题，研究落实专项资金实施过程中的相关决策和问题，制定信息产业发展考核办法，并承担目标责任考核工作。</w:t>
      </w:r>
      <w:r w:rsidRPr="00316817">
        <w:rPr>
          <w:rFonts w:ascii="微软雅黑" w:eastAsia="微软雅黑" w:hAnsi="微软雅黑" w:cs="宋体"/>
          <w:color w:val="505050"/>
          <w:kern w:val="0"/>
          <w:sz w:val="24"/>
          <w:szCs w:val="24"/>
        </w:rPr>
        <w:br/>
        <w:t>      （九）本意见由市经信局负责组织实施，相关政策由市财政局、市经信局负责解释。</w:t>
      </w:r>
      <w:r w:rsidRPr="00316817">
        <w:rPr>
          <w:rFonts w:ascii="微软雅黑" w:eastAsia="微软雅黑" w:hAnsi="微软雅黑" w:cs="宋体"/>
          <w:color w:val="505050"/>
          <w:kern w:val="0"/>
          <w:sz w:val="24"/>
          <w:szCs w:val="24"/>
        </w:rPr>
        <w:br/>
        <w:t>      （十）本意见自公布之日起执行，有效期至2020年12月31日。</w:t>
      </w:r>
    </w:p>
    <w:p w:rsidR="00316817" w:rsidRPr="00316817" w:rsidRDefault="00316817" w:rsidP="00316817">
      <w:pPr>
        <w:widowControl/>
        <w:spacing w:before="100" w:beforeAutospacing="1" w:after="100" w:afterAutospacing="1" w:line="330" w:lineRule="atLeast"/>
        <w:jc w:val="right"/>
        <w:rPr>
          <w:rFonts w:ascii="Verdana" w:eastAsia="宋体" w:hAnsi="Verdana" w:cs="宋体"/>
          <w:color w:val="505050"/>
          <w:kern w:val="0"/>
          <w:szCs w:val="21"/>
        </w:rPr>
      </w:pPr>
      <w:r w:rsidRPr="00316817">
        <w:rPr>
          <w:rFonts w:ascii="Calibri" w:eastAsia="黑体" w:hAnsi="Calibri" w:cs="Calibri"/>
          <w:color w:val="505050"/>
          <w:kern w:val="0"/>
          <w:sz w:val="24"/>
          <w:szCs w:val="24"/>
        </w:rPr>
        <w:t>                                 </w:t>
      </w:r>
      <w:r w:rsidRPr="00316817">
        <w:rPr>
          <w:rFonts w:ascii="黑体" w:eastAsia="黑体" w:hAnsi="黑体" w:cs="宋体"/>
          <w:color w:val="505050"/>
          <w:kern w:val="0"/>
          <w:sz w:val="24"/>
          <w:szCs w:val="24"/>
        </w:rPr>
        <w:t>2015年5月18日</w:t>
      </w:r>
    </w:p>
    <w:p w:rsidR="00316817" w:rsidRPr="00316817" w:rsidRDefault="00316817" w:rsidP="00316817">
      <w:pPr>
        <w:widowControl/>
        <w:spacing w:before="100" w:beforeAutospacing="1" w:after="100" w:afterAutospacing="1" w:line="525" w:lineRule="atLeast"/>
        <w:jc w:val="left"/>
        <w:rPr>
          <w:rFonts w:ascii="Verdana" w:eastAsia="宋体" w:hAnsi="Verdana" w:cs="宋体"/>
          <w:color w:val="505050"/>
          <w:kern w:val="0"/>
          <w:sz w:val="18"/>
          <w:szCs w:val="18"/>
        </w:rPr>
      </w:pPr>
      <w:r w:rsidRPr="00316817">
        <w:rPr>
          <w:rFonts w:ascii="Verdana" w:eastAsia="宋体" w:hAnsi="Verdana" w:cs="宋体"/>
          <w:color w:val="505050"/>
          <w:kern w:val="0"/>
          <w:sz w:val="18"/>
          <w:szCs w:val="18"/>
        </w:rPr>
        <w:t>下一篇：</w:t>
      </w:r>
      <w:hyperlink r:id="rId7" w:tgtFrame="" w:tooltip="曲阜市招商局2016年部门预算和“三公”经费预算公开" w:history="1">
        <w:r w:rsidRPr="00316817">
          <w:rPr>
            <w:rFonts w:ascii="Verdana" w:eastAsia="宋体" w:hAnsi="Verdana" w:cs="宋体"/>
            <w:color w:val="505050"/>
            <w:kern w:val="0"/>
            <w:sz w:val="18"/>
            <w:szCs w:val="18"/>
          </w:rPr>
          <w:t>曲阜市招商局</w:t>
        </w:r>
        <w:r w:rsidRPr="00316817">
          <w:rPr>
            <w:rFonts w:ascii="Verdana" w:eastAsia="宋体" w:hAnsi="Verdana" w:cs="宋体"/>
            <w:color w:val="505050"/>
            <w:kern w:val="0"/>
            <w:sz w:val="18"/>
            <w:szCs w:val="18"/>
          </w:rPr>
          <w:t>2016</w:t>
        </w:r>
        <w:r w:rsidRPr="00316817">
          <w:rPr>
            <w:rFonts w:ascii="Verdana" w:eastAsia="宋体" w:hAnsi="Verdana" w:cs="宋体"/>
            <w:color w:val="505050"/>
            <w:kern w:val="0"/>
            <w:sz w:val="18"/>
            <w:szCs w:val="18"/>
          </w:rPr>
          <w:t>年部门预算和</w:t>
        </w:r>
        <w:r w:rsidRPr="00316817">
          <w:rPr>
            <w:rFonts w:ascii="Verdana" w:eastAsia="宋体" w:hAnsi="Verdana" w:cs="宋体"/>
            <w:color w:val="505050"/>
            <w:kern w:val="0"/>
            <w:sz w:val="18"/>
            <w:szCs w:val="18"/>
          </w:rPr>
          <w:t>“</w:t>
        </w:r>
        <w:r w:rsidRPr="00316817">
          <w:rPr>
            <w:rFonts w:ascii="Verdana" w:eastAsia="宋体" w:hAnsi="Verdana" w:cs="宋体"/>
            <w:color w:val="505050"/>
            <w:kern w:val="0"/>
            <w:sz w:val="18"/>
            <w:szCs w:val="18"/>
          </w:rPr>
          <w:t>三公</w:t>
        </w:r>
        <w:r w:rsidRPr="00316817">
          <w:rPr>
            <w:rFonts w:ascii="Verdana" w:eastAsia="宋体" w:hAnsi="Verdana" w:cs="宋体"/>
            <w:color w:val="505050"/>
            <w:kern w:val="0"/>
            <w:sz w:val="18"/>
            <w:szCs w:val="18"/>
          </w:rPr>
          <w:t>”</w:t>
        </w:r>
        <w:r w:rsidRPr="00316817">
          <w:rPr>
            <w:rFonts w:ascii="Verdana" w:eastAsia="宋体" w:hAnsi="Verdana" w:cs="宋体"/>
            <w:color w:val="505050"/>
            <w:kern w:val="0"/>
            <w:sz w:val="18"/>
            <w:szCs w:val="18"/>
          </w:rPr>
          <w:t>经费预算公开</w:t>
        </w:r>
      </w:hyperlink>
      <w:r w:rsidRPr="00316817">
        <w:rPr>
          <w:rFonts w:ascii="Verdana" w:eastAsia="宋体" w:hAnsi="Verdana" w:cs="宋体"/>
          <w:color w:val="505050"/>
          <w:kern w:val="0"/>
          <w:sz w:val="18"/>
          <w:szCs w:val="18"/>
        </w:rPr>
        <w:t> </w:t>
      </w:r>
    </w:p>
    <w:p w:rsidR="00D54EAE" w:rsidRPr="00316817" w:rsidRDefault="00D54EAE" w:rsidP="00C46187">
      <w:pPr>
        <w:widowControl/>
        <w:spacing w:line="750" w:lineRule="atLeast"/>
        <w:jc w:val="center"/>
      </w:pPr>
    </w:p>
    <w:sectPr w:rsidR="00D54EAE" w:rsidRPr="00316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75"/>
    <w:rsid w:val="00184BAF"/>
    <w:rsid w:val="00316817"/>
    <w:rsid w:val="003B098D"/>
    <w:rsid w:val="004D6B66"/>
    <w:rsid w:val="006A495A"/>
    <w:rsid w:val="007F4A58"/>
    <w:rsid w:val="008C5752"/>
    <w:rsid w:val="00945047"/>
    <w:rsid w:val="00B57D2A"/>
    <w:rsid w:val="00C46187"/>
    <w:rsid w:val="00CF066C"/>
    <w:rsid w:val="00D54EAE"/>
    <w:rsid w:val="00ED1E38"/>
    <w:rsid w:val="00FD4274"/>
    <w:rsid w:val="00FF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03EC9-113C-4C60-9AEA-92E1B825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B098D"/>
    <w:pPr>
      <w:widowControl/>
      <w:spacing w:line="480" w:lineRule="auto"/>
      <w:jc w:val="left"/>
      <w:outlineLvl w:val="0"/>
    </w:pPr>
    <w:rPr>
      <w:rFonts w:ascii="宋体" w:eastAsia="宋体" w:hAnsi="宋体" w:cs="宋体"/>
      <w:b/>
      <w:bCs/>
      <w:color w:val="B8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098D"/>
    <w:rPr>
      <w:rFonts w:ascii="宋体" w:eastAsia="宋体" w:hAnsi="宋体" w:cs="宋体"/>
      <w:b/>
      <w:bCs/>
      <w:color w:val="B80000"/>
      <w:kern w:val="36"/>
      <w:sz w:val="33"/>
      <w:szCs w:val="33"/>
    </w:rPr>
  </w:style>
  <w:style w:type="paragraph" w:styleId="a3">
    <w:name w:val="Normal (Web)"/>
    <w:basedOn w:val="a"/>
    <w:uiPriority w:val="99"/>
    <w:semiHidden/>
    <w:unhideWhenUsed/>
    <w:rsid w:val="003B09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1E38"/>
    <w:rPr>
      <w:b/>
      <w:bCs/>
    </w:rPr>
  </w:style>
  <w:style w:type="paragraph" w:styleId="z-">
    <w:name w:val="HTML Top of Form"/>
    <w:basedOn w:val="a"/>
    <w:next w:val="a"/>
    <w:link w:val="z-Char"/>
    <w:hidden/>
    <w:uiPriority w:val="99"/>
    <w:semiHidden/>
    <w:unhideWhenUsed/>
    <w:rsid w:val="00FD427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D427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FD427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D4274"/>
    <w:rPr>
      <w:rFonts w:ascii="Arial" w:eastAsia="宋体" w:hAnsi="Arial" w:cs="Arial"/>
      <w:vanish/>
      <w:kern w:val="0"/>
      <w:sz w:val="16"/>
      <w:szCs w:val="16"/>
    </w:rPr>
  </w:style>
  <w:style w:type="character" w:styleId="a5">
    <w:name w:val="Hyperlink"/>
    <w:basedOn w:val="a0"/>
    <w:uiPriority w:val="99"/>
    <w:semiHidden/>
    <w:unhideWhenUsed/>
    <w:rsid w:val="007F4A58"/>
    <w:rPr>
      <w:color w:val="0000FF"/>
      <w:u w:val="single"/>
    </w:rPr>
  </w:style>
  <w:style w:type="character" w:customStyle="1" w:styleId="apple-converted-space">
    <w:name w:val="apple-converted-space"/>
    <w:basedOn w:val="a0"/>
    <w:rsid w:val="007F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544230">
      <w:bodyDiv w:val="1"/>
      <w:marLeft w:val="0"/>
      <w:marRight w:val="0"/>
      <w:marTop w:val="0"/>
      <w:marBottom w:val="0"/>
      <w:divBdr>
        <w:top w:val="none" w:sz="0" w:space="0" w:color="auto"/>
        <w:left w:val="none" w:sz="0" w:space="0" w:color="auto"/>
        <w:bottom w:val="none" w:sz="0" w:space="0" w:color="auto"/>
        <w:right w:val="none" w:sz="0" w:space="0" w:color="auto"/>
      </w:divBdr>
      <w:divsChild>
        <w:div w:id="669866441">
          <w:marLeft w:val="0"/>
          <w:marRight w:val="0"/>
          <w:marTop w:val="0"/>
          <w:marBottom w:val="0"/>
          <w:divBdr>
            <w:top w:val="single" w:sz="6" w:space="0" w:color="E8E8E8"/>
            <w:left w:val="single" w:sz="6" w:space="0" w:color="E8E8E8"/>
            <w:bottom w:val="single" w:sz="6" w:space="0" w:color="E8E8E8"/>
            <w:right w:val="single" w:sz="6" w:space="0" w:color="E8E8E8"/>
          </w:divBdr>
        </w:div>
        <w:div w:id="284386172">
          <w:marLeft w:val="0"/>
          <w:marRight w:val="0"/>
          <w:marTop w:val="450"/>
          <w:marBottom w:val="450"/>
          <w:divBdr>
            <w:top w:val="none" w:sz="0" w:space="0" w:color="auto"/>
            <w:left w:val="none" w:sz="0" w:space="0" w:color="auto"/>
            <w:bottom w:val="none" w:sz="0" w:space="0" w:color="auto"/>
            <w:right w:val="none" w:sz="0" w:space="0" w:color="auto"/>
          </w:divBdr>
        </w:div>
      </w:divsChild>
    </w:div>
    <w:div w:id="1183663196">
      <w:bodyDiv w:val="1"/>
      <w:marLeft w:val="0"/>
      <w:marRight w:val="0"/>
      <w:marTop w:val="0"/>
      <w:marBottom w:val="0"/>
      <w:divBdr>
        <w:top w:val="none" w:sz="0" w:space="0" w:color="auto"/>
        <w:left w:val="none" w:sz="0" w:space="0" w:color="auto"/>
        <w:bottom w:val="none" w:sz="0" w:space="0" w:color="auto"/>
        <w:right w:val="none" w:sz="0" w:space="0" w:color="auto"/>
      </w:divBdr>
      <w:divsChild>
        <w:div w:id="977800677">
          <w:marLeft w:val="0"/>
          <w:marRight w:val="0"/>
          <w:marTop w:val="0"/>
          <w:marBottom w:val="0"/>
          <w:divBdr>
            <w:top w:val="single" w:sz="6" w:space="0" w:color="E8E8E8"/>
            <w:left w:val="single" w:sz="6" w:space="0" w:color="E8E8E8"/>
            <w:bottom w:val="single" w:sz="6" w:space="0" w:color="E8E8E8"/>
            <w:right w:val="single" w:sz="6" w:space="0" w:color="E8E8E8"/>
          </w:divBdr>
        </w:div>
        <w:div w:id="579560093">
          <w:marLeft w:val="0"/>
          <w:marRight w:val="0"/>
          <w:marTop w:val="450"/>
          <w:marBottom w:val="450"/>
          <w:divBdr>
            <w:top w:val="none" w:sz="0" w:space="0" w:color="auto"/>
            <w:left w:val="none" w:sz="0" w:space="0" w:color="auto"/>
            <w:bottom w:val="none" w:sz="0" w:space="0" w:color="auto"/>
            <w:right w:val="none" w:sz="0" w:space="0" w:color="auto"/>
          </w:divBdr>
        </w:div>
      </w:divsChild>
    </w:div>
    <w:div w:id="1286499006">
      <w:bodyDiv w:val="1"/>
      <w:marLeft w:val="0"/>
      <w:marRight w:val="0"/>
      <w:marTop w:val="0"/>
      <w:marBottom w:val="0"/>
      <w:divBdr>
        <w:top w:val="none" w:sz="0" w:space="0" w:color="auto"/>
        <w:left w:val="none" w:sz="0" w:space="0" w:color="auto"/>
        <w:bottom w:val="none" w:sz="0" w:space="0" w:color="auto"/>
        <w:right w:val="none" w:sz="0" w:space="0" w:color="auto"/>
      </w:divBdr>
      <w:divsChild>
        <w:div w:id="1964386317">
          <w:marLeft w:val="0"/>
          <w:marRight w:val="0"/>
          <w:marTop w:val="0"/>
          <w:marBottom w:val="0"/>
          <w:divBdr>
            <w:top w:val="single" w:sz="6" w:space="0" w:color="E8E8E8"/>
            <w:left w:val="single" w:sz="6" w:space="0" w:color="E8E8E8"/>
            <w:bottom w:val="single" w:sz="6" w:space="0" w:color="E8E8E8"/>
            <w:right w:val="single" w:sz="6" w:space="0" w:color="E8E8E8"/>
          </w:divBdr>
        </w:div>
        <w:div w:id="208613368">
          <w:marLeft w:val="0"/>
          <w:marRight w:val="0"/>
          <w:marTop w:val="450"/>
          <w:marBottom w:val="450"/>
          <w:divBdr>
            <w:top w:val="none" w:sz="0" w:space="0" w:color="auto"/>
            <w:left w:val="none" w:sz="0" w:space="0" w:color="auto"/>
            <w:bottom w:val="none" w:sz="0" w:space="0" w:color="auto"/>
            <w:right w:val="none" w:sz="0" w:space="0" w:color="auto"/>
          </w:divBdr>
        </w:div>
      </w:divsChild>
    </w:div>
    <w:div w:id="1678268490">
      <w:bodyDiv w:val="1"/>
      <w:marLeft w:val="0"/>
      <w:marRight w:val="0"/>
      <w:marTop w:val="0"/>
      <w:marBottom w:val="0"/>
      <w:divBdr>
        <w:top w:val="none" w:sz="0" w:space="0" w:color="auto"/>
        <w:left w:val="none" w:sz="0" w:space="0" w:color="auto"/>
        <w:bottom w:val="none" w:sz="0" w:space="0" w:color="auto"/>
        <w:right w:val="none" w:sz="0" w:space="0" w:color="auto"/>
      </w:divBdr>
      <w:divsChild>
        <w:div w:id="266619055">
          <w:marLeft w:val="0"/>
          <w:marRight w:val="0"/>
          <w:marTop w:val="0"/>
          <w:marBottom w:val="0"/>
          <w:divBdr>
            <w:top w:val="none" w:sz="0" w:space="0" w:color="auto"/>
            <w:left w:val="none" w:sz="0" w:space="0" w:color="auto"/>
            <w:bottom w:val="none" w:sz="0" w:space="0" w:color="auto"/>
            <w:right w:val="none" w:sz="0" w:space="0" w:color="auto"/>
          </w:divBdr>
        </w:div>
        <w:div w:id="292368742">
          <w:marLeft w:val="0"/>
          <w:marRight w:val="0"/>
          <w:marTop w:val="0"/>
          <w:marBottom w:val="0"/>
          <w:divBdr>
            <w:top w:val="none" w:sz="0" w:space="0" w:color="auto"/>
            <w:left w:val="none" w:sz="0" w:space="0" w:color="auto"/>
            <w:bottom w:val="none" w:sz="0" w:space="0" w:color="auto"/>
            <w:right w:val="none" w:sz="0" w:space="0" w:color="auto"/>
          </w:divBdr>
        </w:div>
        <w:div w:id="614212747">
          <w:marLeft w:val="0"/>
          <w:marRight w:val="0"/>
          <w:marTop w:val="0"/>
          <w:marBottom w:val="0"/>
          <w:divBdr>
            <w:top w:val="none" w:sz="0" w:space="0" w:color="auto"/>
            <w:left w:val="none" w:sz="0" w:space="0" w:color="auto"/>
            <w:bottom w:val="none" w:sz="0" w:space="0" w:color="auto"/>
            <w:right w:val="none" w:sz="0" w:space="0" w:color="auto"/>
          </w:divBdr>
        </w:div>
        <w:div w:id="2052606947">
          <w:marLeft w:val="0"/>
          <w:marRight w:val="0"/>
          <w:marTop w:val="0"/>
          <w:marBottom w:val="0"/>
          <w:divBdr>
            <w:top w:val="none" w:sz="0" w:space="0" w:color="auto"/>
            <w:left w:val="none" w:sz="0" w:space="0" w:color="auto"/>
            <w:bottom w:val="none" w:sz="0" w:space="0" w:color="auto"/>
            <w:right w:val="none" w:sz="0" w:space="0" w:color="auto"/>
          </w:divBdr>
        </w:div>
        <w:div w:id="1794322448">
          <w:marLeft w:val="0"/>
          <w:marRight w:val="0"/>
          <w:marTop w:val="0"/>
          <w:marBottom w:val="0"/>
          <w:divBdr>
            <w:top w:val="none" w:sz="0" w:space="0" w:color="auto"/>
            <w:left w:val="none" w:sz="0" w:space="0" w:color="auto"/>
            <w:bottom w:val="none" w:sz="0" w:space="0" w:color="auto"/>
            <w:right w:val="none" w:sz="0" w:space="0" w:color="auto"/>
          </w:divBdr>
        </w:div>
        <w:div w:id="1852991090">
          <w:marLeft w:val="0"/>
          <w:marRight w:val="0"/>
          <w:marTop w:val="0"/>
          <w:marBottom w:val="0"/>
          <w:divBdr>
            <w:top w:val="none" w:sz="0" w:space="0" w:color="auto"/>
            <w:left w:val="none" w:sz="0" w:space="0" w:color="auto"/>
            <w:bottom w:val="none" w:sz="0" w:space="0" w:color="auto"/>
            <w:right w:val="none" w:sz="0" w:space="0" w:color="auto"/>
          </w:divBdr>
        </w:div>
      </w:divsChild>
    </w:div>
    <w:div w:id="1709572442">
      <w:bodyDiv w:val="1"/>
      <w:marLeft w:val="0"/>
      <w:marRight w:val="0"/>
      <w:marTop w:val="0"/>
      <w:marBottom w:val="0"/>
      <w:divBdr>
        <w:top w:val="none" w:sz="0" w:space="0" w:color="auto"/>
        <w:left w:val="none" w:sz="0" w:space="0" w:color="auto"/>
        <w:bottom w:val="none" w:sz="0" w:space="0" w:color="auto"/>
        <w:right w:val="none" w:sz="0" w:space="0" w:color="auto"/>
      </w:divBdr>
      <w:divsChild>
        <w:div w:id="1067344493">
          <w:marLeft w:val="0"/>
          <w:marRight w:val="0"/>
          <w:marTop w:val="0"/>
          <w:marBottom w:val="0"/>
          <w:divBdr>
            <w:top w:val="none" w:sz="0" w:space="0" w:color="auto"/>
            <w:left w:val="none" w:sz="0" w:space="0" w:color="auto"/>
            <w:bottom w:val="none" w:sz="0" w:space="0" w:color="auto"/>
            <w:right w:val="none" w:sz="0" w:space="0" w:color="auto"/>
          </w:divBdr>
        </w:div>
        <w:div w:id="357854809">
          <w:marLeft w:val="0"/>
          <w:marRight w:val="0"/>
          <w:marTop w:val="0"/>
          <w:marBottom w:val="0"/>
          <w:divBdr>
            <w:top w:val="none" w:sz="0" w:space="0" w:color="auto"/>
            <w:left w:val="none" w:sz="0" w:space="0" w:color="auto"/>
            <w:bottom w:val="none" w:sz="0" w:space="0" w:color="auto"/>
            <w:right w:val="none" w:sz="0" w:space="0" w:color="auto"/>
          </w:divBdr>
        </w:div>
        <w:div w:id="1970434746">
          <w:marLeft w:val="0"/>
          <w:marRight w:val="0"/>
          <w:marTop w:val="0"/>
          <w:marBottom w:val="0"/>
          <w:divBdr>
            <w:top w:val="none" w:sz="0" w:space="0" w:color="auto"/>
            <w:left w:val="none" w:sz="0" w:space="0" w:color="auto"/>
            <w:bottom w:val="none" w:sz="0" w:space="0" w:color="auto"/>
            <w:right w:val="none" w:sz="0" w:space="0" w:color="auto"/>
          </w:divBdr>
        </w:div>
        <w:div w:id="3440533">
          <w:marLeft w:val="0"/>
          <w:marRight w:val="0"/>
          <w:marTop w:val="0"/>
          <w:marBottom w:val="0"/>
          <w:divBdr>
            <w:top w:val="none" w:sz="0" w:space="0" w:color="auto"/>
            <w:left w:val="none" w:sz="0" w:space="0" w:color="auto"/>
            <w:bottom w:val="none" w:sz="0" w:space="0" w:color="auto"/>
            <w:right w:val="none" w:sz="0" w:space="0" w:color="auto"/>
          </w:divBdr>
        </w:div>
        <w:div w:id="437986624">
          <w:marLeft w:val="0"/>
          <w:marRight w:val="0"/>
          <w:marTop w:val="0"/>
          <w:marBottom w:val="0"/>
          <w:divBdr>
            <w:top w:val="none" w:sz="0" w:space="0" w:color="auto"/>
            <w:left w:val="none" w:sz="0" w:space="0" w:color="auto"/>
            <w:bottom w:val="none" w:sz="0" w:space="0" w:color="auto"/>
            <w:right w:val="none" w:sz="0" w:space="0" w:color="auto"/>
          </w:divBdr>
        </w:div>
        <w:div w:id="715855625">
          <w:marLeft w:val="0"/>
          <w:marRight w:val="0"/>
          <w:marTop w:val="0"/>
          <w:marBottom w:val="0"/>
          <w:divBdr>
            <w:top w:val="none" w:sz="0" w:space="0" w:color="auto"/>
            <w:left w:val="none" w:sz="0" w:space="0" w:color="auto"/>
            <w:bottom w:val="none" w:sz="0" w:space="0" w:color="auto"/>
            <w:right w:val="none" w:sz="0" w:space="0" w:color="auto"/>
          </w:divBdr>
        </w:div>
      </w:divsChild>
    </w:div>
    <w:div w:id="1794864423">
      <w:bodyDiv w:val="1"/>
      <w:marLeft w:val="0"/>
      <w:marRight w:val="0"/>
      <w:marTop w:val="0"/>
      <w:marBottom w:val="0"/>
      <w:divBdr>
        <w:top w:val="none" w:sz="0" w:space="0" w:color="auto"/>
        <w:left w:val="none" w:sz="0" w:space="0" w:color="auto"/>
        <w:bottom w:val="none" w:sz="0" w:space="0" w:color="auto"/>
        <w:right w:val="none" w:sz="0" w:space="0" w:color="auto"/>
      </w:divBdr>
      <w:divsChild>
        <w:div w:id="525757497">
          <w:marLeft w:val="0"/>
          <w:marRight w:val="0"/>
          <w:marTop w:val="0"/>
          <w:marBottom w:val="0"/>
          <w:divBdr>
            <w:top w:val="none" w:sz="0" w:space="0" w:color="auto"/>
            <w:left w:val="none" w:sz="0" w:space="0" w:color="auto"/>
            <w:bottom w:val="none" w:sz="0" w:space="0" w:color="auto"/>
            <w:right w:val="none" w:sz="0" w:space="0" w:color="auto"/>
          </w:divBdr>
        </w:div>
        <w:div w:id="1600990799">
          <w:marLeft w:val="0"/>
          <w:marRight w:val="0"/>
          <w:marTop w:val="0"/>
          <w:marBottom w:val="0"/>
          <w:divBdr>
            <w:top w:val="none" w:sz="0" w:space="0" w:color="auto"/>
            <w:left w:val="none" w:sz="0" w:space="0" w:color="auto"/>
            <w:bottom w:val="none" w:sz="0" w:space="0" w:color="auto"/>
            <w:right w:val="none" w:sz="0" w:space="0" w:color="auto"/>
          </w:divBdr>
        </w:div>
        <w:div w:id="357043408">
          <w:marLeft w:val="0"/>
          <w:marRight w:val="0"/>
          <w:marTop w:val="0"/>
          <w:marBottom w:val="0"/>
          <w:divBdr>
            <w:top w:val="none" w:sz="0" w:space="0" w:color="auto"/>
            <w:left w:val="none" w:sz="0" w:space="0" w:color="auto"/>
            <w:bottom w:val="none" w:sz="0" w:space="0" w:color="auto"/>
            <w:right w:val="none" w:sz="0" w:space="0" w:color="auto"/>
          </w:divBdr>
        </w:div>
        <w:div w:id="224533752">
          <w:marLeft w:val="0"/>
          <w:marRight w:val="0"/>
          <w:marTop w:val="0"/>
          <w:marBottom w:val="0"/>
          <w:divBdr>
            <w:top w:val="none" w:sz="0" w:space="0" w:color="auto"/>
            <w:left w:val="none" w:sz="0" w:space="0" w:color="auto"/>
            <w:bottom w:val="none" w:sz="0" w:space="0" w:color="auto"/>
            <w:right w:val="none" w:sz="0" w:space="0" w:color="auto"/>
          </w:divBdr>
        </w:div>
        <w:div w:id="1662274954">
          <w:marLeft w:val="0"/>
          <w:marRight w:val="0"/>
          <w:marTop w:val="0"/>
          <w:marBottom w:val="0"/>
          <w:divBdr>
            <w:top w:val="none" w:sz="0" w:space="0" w:color="auto"/>
            <w:left w:val="none" w:sz="0" w:space="0" w:color="auto"/>
            <w:bottom w:val="none" w:sz="0" w:space="0" w:color="auto"/>
            <w:right w:val="none" w:sz="0" w:space="0" w:color="auto"/>
          </w:divBdr>
        </w:div>
        <w:div w:id="1327519606">
          <w:marLeft w:val="0"/>
          <w:marRight w:val="0"/>
          <w:marTop w:val="0"/>
          <w:marBottom w:val="0"/>
          <w:divBdr>
            <w:top w:val="none" w:sz="0" w:space="0" w:color="auto"/>
            <w:left w:val="none" w:sz="0" w:space="0" w:color="auto"/>
            <w:bottom w:val="none" w:sz="0" w:space="0" w:color="auto"/>
            <w:right w:val="none" w:sz="0" w:space="0" w:color="auto"/>
          </w:divBdr>
        </w:div>
      </w:divsChild>
    </w:div>
    <w:div w:id="1803500127">
      <w:bodyDiv w:val="1"/>
      <w:marLeft w:val="0"/>
      <w:marRight w:val="0"/>
      <w:marTop w:val="0"/>
      <w:marBottom w:val="0"/>
      <w:divBdr>
        <w:top w:val="none" w:sz="0" w:space="0" w:color="auto"/>
        <w:left w:val="none" w:sz="0" w:space="0" w:color="auto"/>
        <w:bottom w:val="none" w:sz="0" w:space="0" w:color="auto"/>
        <w:right w:val="none" w:sz="0" w:space="0" w:color="auto"/>
      </w:divBdr>
      <w:divsChild>
        <w:div w:id="1293248892">
          <w:marLeft w:val="0"/>
          <w:marRight w:val="0"/>
          <w:marTop w:val="0"/>
          <w:marBottom w:val="0"/>
          <w:divBdr>
            <w:top w:val="single" w:sz="6" w:space="0" w:color="E8E8E8"/>
            <w:left w:val="single" w:sz="6" w:space="0" w:color="E8E8E8"/>
            <w:bottom w:val="single" w:sz="6" w:space="0" w:color="E8E8E8"/>
            <w:right w:val="single" w:sz="6" w:space="0" w:color="E8E8E8"/>
          </w:divBdr>
        </w:div>
        <w:div w:id="1648196696">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qfzs.gov.cn/news/html/?55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12)" TargetMode="External"/><Relationship Id="rId5" Type="http://schemas.openxmlformats.org/officeDocument/2006/relationships/hyperlink" Target="javascript:fontZoom(14)" TargetMode="External"/><Relationship Id="rId4" Type="http://schemas.openxmlformats.org/officeDocument/2006/relationships/hyperlink" Target="javascript:fontZoom(16)"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2018-05-15T09:18:00Z</dcterms:created>
  <dcterms:modified xsi:type="dcterms:W3CDTF">2018-05-15T09:18:00Z</dcterms:modified>
</cp:coreProperties>
</file>