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CD" w:rsidRPr="00B61CCD" w:rsidRDefault="00B61CCD" w:rsidP="00B61CCD">
      <w:pPr>
        <w:shd w:val="clear" w:color="auto" w:fill="FFFFFF"/>
        <w:adjustRightInd/>
        <w:snapToGrid/>
        <w:spacing w:before="100" w:beforeAutospacing="1" w:after="100" w:afterAutospacing="1" w:line="780" w:lineRule="atLeast"/>
        <w:jc w:val="center"/>
        <w:outlineLvl w:val="2"/>
        <w:rPr>
          <w:rFonts w:ascii="ˎ̥" w:eastAsia="宋体" w:hAnsi="ˎ̥" w:cs="宋体"/>
          <w:b/>
          <w:bCs/>
          <w:color w:val="000000"/>
          <w:sz w:val="41"/>
          <w:szCs w:val="41"/>
        </w:rPr>
      </w:pPr>
      <w:r w:rsidRPr="00B61CCD">
        <w:rPr>
          <w:rFonts w:ascii="ˎ̥" w:eastAsia="宋体" w:hAnsi="ˎ̥" w:cs="宋体"/>
          <w:b/>
          <w:bCs/>
          <w:color w:val="000000"/>
          <w:sz w:val="41"/>
        </w:rPr>
        <w:t>四川省人民政府办公厅关于印发支持外商投资企业发展八条措施的通知</w:t>
      </w:r>
    </w:p>
    <w:p w:rsidR="00B61CCD" w:rsidRPr="00B61CCD" w:rsidRDefault="00B61CCD" w:rsidP="00B61CCD">
      <w:pPr>
        <w:numPr>
          <w:ilvl w:val="0"/>
          <w:numId w:val="1"/>
        </w:numPr>
        <w:shd w:val="clear" w:color="auto" w:fill="FFFFFF"/>
        <w:adjustRightInd/>
        <w:snapToGrid/>
        <w:spacing w:before="100" w:beforeAutospacing="1" w:after="100" w:afterAutospacing="1" w:line="435" w:lineRule="atLeast"/>
        <w:ind w:left="795" w:right="150"/>
        <w:rPr>
          <w:rFonts w:ascii="ˎ̥" w:eastAsia="宋体" w:hAnsi="ˎ̥" w:cs="宋体"/>
          <w:sz w:val="18"/>
          <w:szCs w:val="18"/>
        </w:rPr>
      </w:pPr>
    </w:p>
    <w:p w:rsidR="00B61CCD" w:rsidRPr="00B61CCD" w:rsidRDefault="00B61CCD" w:rsidP="00B61CCD">
      <w:pPr>
        <w:numPr>
          <w:ilvl w:val="0"/>
          <w:numId w:val="1"/>
        </w:numPr>
        <w:shd w:val="clear" w:color="auto" w:fill="FFFFFF"/>
        <w:adjustRightInd/>
        <w:snapToGrid/>
        <w:spacing w:before="100" w:beforeAutospacing="1" w:after="100" w:afterAutospacing="1" w:line="435" w:lineRule="atLeast"/>
        <w:ind w:left="795" w:right="150"/>
        <w:rPr>
          <w:rFonts w:ascii="ˎ̥" w:eastAsia="宋体" w:hAnsi="ˎ̥" w:cs="宋体"/>
          <w:sz w:val="18"/>
          <w:szCs w:val="18"/>
        </w:rPr>
      </w:pPr>
      <w:r w:rsidRPr="00B61CCD">
        <w:rPr>
          <w:rFonts w:ascii="ˎ̥" w:eastAsia="宋体" w:hAnsi="ˎ̥" w:cs="宋体"/>
          <w:sz w:val="18"/>
        </w:rPr>
        <w:t>来源</w:t>
      </w:r>
      <w:r w:rsidRPr="00B61CCD">
        <w:rPr>
          <w:rFonts w:ascii="ˎ̥" w:eastAsia="宋体" w:hAnsi="ˎ̥" w:cs="宋体"/>
          <w:sz w:val="18"/>
        </w:rPr>
        <w:t>:</w:t>
      </w:r>
      <w:r w:rsidRPr="00B61CCD">
        <w:rPr>
          <w:rFonts w:ascii="ˎ̥" w:eastAsia="宋体" w:hAnsi="ˎ̥" w:cs="宋体"/>
          <w:sz w:val="18"/>
        </w:rPr>
        <w:t>省政府办公厅</w:t>
      </w:r>
      <w:r w:rsidRPr="00B61CCD">
        <w:rPr>
          <w:rFonts w:ascii="ˎ̥" w:eastAsia="宋体" w:hAnsi="ˎ̥" w:cs="宋体"/>
          <w:sz w:val="18"/>
        </w:rPr>
        <w:t xml:space="preserve"> </w:t>
      </w:r>
    </w:p>
    <w:p w:rsidR="00B61CCD" w:rsidRPr="00B61CCD" w:rsidRDefault="00B61CCD" w:rsidP="00B61CCD">
      <w:pPr>
        <w:numPr>
          <w:ilvl w:val="0"/>
          <w:numId w:val="1"/>
        </w:numPr>
        <w:shd w:val="clear" w:color="auto" w:fill="FFFFFF"/>
        <w:adjustRightInd/>
        <w:snapToGrid/>
        <w:spacing w:before="100" w:beforeAutospacing="1" w:after="100" w:afterAutospacing="1" w:line="435" w:lineRule="atLeast"/>
        <w:ind w:left="795" w:right="150"/>
        <w:rPr>
          <w:rFonts w:ascii="ˎ̥" w:eastAsia="宋体" w:hAnsi="ˎ̥" w:cs="宋体"/>
          <w:sz w:val="18"/>
          <w:szCs w:val="18"/>
        </w:rPr>
      </w:pPr>
      <w:r w:rsidRPr="00B61CCD">
        <w:rPr>
          <w:rFonts w:ascii="ˎ̥" w:eastAsia="宋体" w:hAnsi="ˎ̥" w:cs="宋体"/>
          <w:sz w:val="18"/>
        </w:rPr>
        <w:t>【字体：</w:t>
      </w:r>
      <w:hyperlink r:id="rId5" w:tooltip="大" w:history="1">
        <w:r w:rsidRPr="00B61CCD">
          <w:rPr>
            <w:rFonts w:ascii="ˎ̥" w:eastAsia="宋体" w:hAnsi="ˎ̥" w:cs="宋体"/>
            <w:color w:val="000000"/>
            <w:sz w:val="18"/>
          </w:rPr>
          <w:t>大</w:t>
        </w:r>
      </w:hyperlink>
      <w:hyperlink r:id="rId6" w:tooltip="中" w:history="1">
        <w:r w:rsidRPr="00B61CCD">
          <w:rPr>
            <w:rFonts w:ascii="ˎ̥" w:eastAsia="宋体" w:hAnsi="ˎ̥" w:cs="宋体"/>
            <w:color w:val="000000"/>
            <w:sz w:val="18"/>
          </w:rPr>
          <w:t>中</w:t>
        </w:r>
      </w:hyperlink>
      <w:hyperlink r:id="rId7" w:tooltip="小" w:history="1">
        <w:r w:rsidRPr="00B61CCD">
          <w:rPr>
            <w:rFonts w:ascii="ˎ̥" w:eastAsia="宋体" w:hAnsi="ˎ̥" w:cs="宋体"/>
            <w:color w:val="000000"/>
            <w:sz w:val="18"/>
          </w:rPr>
          <w:t>小</w:t>
        </w:r>
      </w:hyperlink>
      <w:r w:rsidRPr="00B61CCD">
        <w:rPr>
          <w:rFonts w:ascii="ˎ̥" w:eastAsia="宋体" w:hAnsi="ˎ̥" w:cs="宋体"/>
          <w:sz w:val="18"/>
        </w:rPr>
        <w:t>】</w:t>
      </w:r>
      <w:r w:rsidRPr="00B61CCD">
        <w:rPr>
          <w:rFonts w:ascii="ˎ̥" w:eastAsia="宋体" w:hAnsi="ˎ̥" w:cs="宋体"/>
          <w:sz w:val="18"/>
        </w:rPr>
        <w:t xml:space="preserve"> </w:t>
      </w:r>
    </w:p>
    <w:tbl>
      <w:tblPr>
        <w:tblpPr w:leftFromText="45" w:rightFromText="345" w:vertAnchor="text" w:tblpXSpec="right" w:tblpYSpec="center"/>
        <w:tblW w:w="0" w:type="auto"/>
        <w:tblCellSpacing w:w="15" w:type="dxa"/>
        <w:tblCellMar>
          <w:top w:w="15" w:type="dxa"/>
          <w:left w:w="15" w:type="dxa"/>
          <w:bottom w:w="15" w:type="dxa"/>
          <w:right w:w="15" w:type="dxa"/>
        </w:tblCellMar>
        <w:tblLook w:val="04A0"/>
      </w:tblPr>
      <w:tblGrid>
        <w:gridCol w:w="795"/>
        <w:gridCol w:w="975"/>
      </w:tblGrid>
      <w:tr w:rsidR="00B61CCD" w:rsidRPr="00B61CCD" w:rsidTr="00B61CCD">
        <w:trPr>
          <w:tblCellSpacing w:w="15" w:type="dxa"/>
        </w:trPr>
        <w:tc>
          <w:tcPr>
            <w:tcW w:w="0" w:type="auto"/>
            <w:vAlign w:val="center"/>
            <w:hideMark/>
          </w:tcPr>
          <w:p w:rsidR="00B61CCD" w:rsidRPr="00B61CCD" w:rsidRDefault="00B61CCD" w:rsidP="00B61CCD">
            <w:pPr>
              <w:adjustRightInd/>
              <w:snapToGrid/>
              <w:spacing w:after="0" w:line="270" w:lineRule="atLeast"/>
              <w:jc w:val="center"/>
              <w:rPr>
                <w:rFonts w:ascii="ˎ̥" w:eastAsia="宋体" w:hAnsi="ˎ̥" w:cs="宋体"/>
                <w:sz w:val="18"/>
                <w:szCs w:val="18"/>
              </w:rPr>
            </w:pPr>
            <w:r w:rsidRPr="00B61CCD">
              <w:rPr>
                <w:rFonts w:ascii="ˎ̥" w:eastAsia="宋体" w:hAnsi="ˎ̥" w:cs="宋体"/>
                <w:sz w:val="18"/>
              </w:rPr>
              <w:t>分享到：</w:t>
            </w:r>
          </w:p>
        </w:tc>
        <w:tc>
          <w:tcPr>
            <w:tcW w:w="0" w:type="auto"/>
            <w:vAlign w:val="center"/>
            <w:hideMark/>
          </w:tcPr>
          <w:p w:rsidR="00B61CCD" w:rsidRPr="00B61CCD" w:rsidRDefault="00B61CCD" w:rsidP="00B61CCD">
            <w:pPr>
              <w:adjustRightInd/>
              <w:snapToGrid/>
              <w:spacing w:after="0" w:line="270" w:lineRule="atLeast"/>
              <w:jc w:val="center"/>
              <w:rPr>
                <w:rFonts w:ascii="宋体" w:eastAsia="宋体" w:hAnsi="宋体" w:cs="宋体" w:hint="eastAsia"/>
                <w:sz w:val="18"/>
                <w:szCs w:val="18"/>
              </w:rPr>
            </w:pPr>
            <w:r w:rsidRPr="00B61CCD">
              <w:rPr>
                <w:rFonts w:ascii="宋体" w:eastAsia="宋体" w:hAnsi="宋体" w:cs="宋体" w:hint="eastAsia"/>
                <w:sz w:val="18"/>
              </w:rPr>
              <w:t>更多</w:t>
            </w:r>
          </w:p>
          <w:p w:rsidR="00B61CCD" w:rsidRPr="00B61CCD" w:rsidRDefault="00B61CCD" w:rsidP="00B61CCD">
            <w:pPr>
              <w:adjustRightInd/>
              <w:snapToGrid/>
              <w:spacing w:after="0" w:line="270" w:lineRule="atLeast"/>
              <w:jc w:val="center"/>
              <w:rPr>
                <w:rFonts w:ascii="宋体" w:eastAsia="宋体" w:hAnsi="宋体" w:cs="宋体"/>
                <w:sz w:val="18"/>
                <w:szCs w:val="18"/>
              </w:rPr>
            </w:pPr>
            <w:r w:rsidRPr="00B61CCD">
              <w:rPr>
                <w:rFonts w:ascii="宋体" w:eastAsia="宋体" w:hAnsi="宋体" w:cs="宋体" w:hint="eastAsia"/>
                <w:sz w:val="18"/>
                <w:szCs w:val="18"/>
              </w:rPr>
              <w:pict/>
            </w:r>
            <w:r w:rsidRPr="00B61CCD">
              <w:rPr>
                <w:rFonts w:ascii="宋体" w:eastAsia="宋体" w:hAnsi="宋体" w:cs="宋体" w:hint="eastAsia"/>
                <w:sz w:val="18"/>
                <w:szCs w:val="18"/>
              </w:rPr>
              <w:pict/>
            </w:r>
            <w:r w:rsidRPr="00B61CCD">
              <w:rPr>
                <w:rFonts w:ascii="宋体" w:eastAsia="宋体" w:hAnsi="宋体" w:cs="宋体" w:hint="eastAsia"/>
                <w:sz w:val="18"/>
                <w:szCs w:val="18"/>
              </w:rPr>
              <w:pict/>
            </w:r>
          </w:p>
        </w:tc>
      </w:tr>
    </w:tbl>
    <w:p w:rsidR="00B61CCD" w:rsidRPr="00B61CCD" w:rsidRDefault="00B61CCD" w:rsidP="00B61CCD">
      <w:pPr>
        <w:shd w:val="clear" w:color="auto" w:fill="FFFFFF"/>
        <w:adjustRightInd/>
        <w:snapToGrid/>
        <w:spacing w:before="100" w:beforeAutospacing="1" w:after="240" w:line="390" w:lineRule="atLeast"/>
        <w:jc w:val="center"/>
        <w:rPr>
          <w:rFonts w:ascii="ˎ̥" w:eastAsia="宋体" w:hAnsi="ˎ̥" w:cs="宋体"/>
          <w:sz w:val="24"/>
          <w:szCs w:val="24"/>
        </w:rPr>
      </w:pPr>
      <w:r w:rsidRPr="00B61CCD">
        <w:rPr>
          <w:rFonts w:ascii="ˎ̥" w:eastAsia="宋体" w:hAnsi="ˎ̥" w:cs="宋体"/>
          <w:b/>
          <w:bCs/>
          <w:sz w:val="24"/>
          <w:szCs w:val="24"/>
        </w:rPr>
        <w:t>川办发〔</w:t>
      </w:r>
      <w:r w:rsidRPr="00B61CCD">
        <w:rPr>
          <w:rFonts w:ascii="ˎ̥" w:eastAsia="宋体" w:hAnsi="ˎ̥" w:cs="宋体"/>
          <w:b/>
          <w:bCs/>
          <w:sz w:val="24"/>
          <w:szCs w:val="24"/>
        </w:rPr>
        <w:t>2014</w:t>
      </w:r>
      <w:r w:rsidRPr="00B61CCD">
        <w:rPr>
          <w:rFonts w:ascii="ˎ̥" w:eastAsia="宋体" w:hAnsi="ˎ̥" w:cs="宋体"/>
          <w:b/>
          <w:bCs/>
          <w:sz w:val="24"/>
          <w:szCs w:val="24"/>
        </w:rPr>
        <w:t>〕</w:t>
      </w:r>
      <w:r w:rsidRPr="00B61CCD">
        <w:rPr>
          <w:rFonts w:ascii="ˎ̥" w:eastAsia="宋体" w:hAnsi="ˎ̥" w:cs="宋体"/>
          <w:b/>
          <w:bCs/>
          <w:sz w:val="24"/>
          <w:szCs w:val="24"/>
        </w:rPr>
        <w:t>73</w:t>
      </w:r>
      <w:r w:rsidRPr="00B61CCD">
        <w:rPr>
          <w:rFonts w:ascii="ˎ̥" w:eastAsia="宋体" w:hAnsi="ˎ̥" w:cs="宋体"/>
          <w:b/>
          <w:bCs/>
          <w:sz w:val="24"/>
          <w:szCs w:val="24"/>
        </w:rPr>
        <w:t>号</w:t>
      </w:r>
      <w:r w:rsidRPr="00B61CCD">
        <w:rPr>
          <w:rFonts w:ascii="ˎ̥" w:eastAsia="宋体" w:hAnsi="ˎ̥" w:cs="宋体"/>
          <w:sz w:val="24"/>
          <w:szCs w:val="24"/>
        </w:rPr>
        <w:t xml:space="preserve"> </w:t>
      </w:r>
    </w:p>
    <w:p w:rsidR="00B61CCD" w:rsidRPr="00B61CCD" w:rsidRDefault="00B61CCD" w:rsidP="00B61CCD">
      <w:pPr>
        <w:shd w:val="clear" w:color="auto" w:fill="FFFFFF"/>
        <w:adjustRightInd/>
        <w:snapToGrid/>
        <w:spacing w:before="100" w:beforeAutospacing="1" w:after="240" w:line="390" w:lineRule="atLeast"/>
        <w:rPr>
          <w:rFonts w:ascii="ˎ̥" w:eastAsia="宋体" w:hAnsi="ˎ̥" w:cs="宋体"/>
          <w:sz w:val="24"/>
          <w:szCs w:val="24"/>
        </w:rPr>
      </w:pPr>
      <w:r w:rsidRPr="00B61CCD">
        <w:rPr>
          <w:rFonts w:ascii="ˎ̥" w:eastAsia="宋体" w:hAnsi="ˎ̥" w:cs="宋体"/>
          <w:sz w:val="24"/>
          <w:szCs w:val="24"/>
        </w:rPr>
        <w:t>各市（州）、县（市、区）人民政府，省政府有关部门、有关直属机构，有关单位：</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《支持外商投资企业发展八条措施》已经省政府同意，现印发你们，请结合实际，认真组织实施。</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各市（州）、各相关部门要准确把握当前形势，深刻认识加强外商投资服务工作的重大意义，进一步转变职能、简政放权，强化服务意识，提高对外商投资企业的服务水平；要明确分工任务，研究出台有针对性的实施办法和配套措施，完善外商投资企业服务管理制度，加强统筹协调、督促检查，形成合力，确保各项政策措施落实到位。</w:t>
      </w:r>
      <w:r w:rsidRPr="00B61CCD">
        <w:rPr>
          <w:rFonts w:ascii="ˎ̥" w:eastAsia="宋体" w:hAnsi="ˎ̥" w:cs="宋体"/>
          <w:sz w:val="24"/>
          <w:szCs w:val="24"/>
        </w:rPr>
        <w:t xml:space="preserve"> </w:t>
      </w:r>
    </w:p>
    <w:p w:rsidR="00B61CCD" w:rsidRPr="00B61CCD" w:rsidRDefault="00B61CCD" w:rsidP="00B61CCD">
      <w:pPr>
        <w:shd w:val="clear" w:color="auto" w:fill="FFFFFF"/>
        <w:adjustRightInd/>
        <w:snapToGrid/>
        <w:spacing w:before="100" w:beforeAutospacing="1" w:after="240" w:line="390" w:lineRule="atLeast"/>
        <w:jc w:val="right"/>
        <w:rPr>
          <w:rFonts w:ascii="ˎ̥" w:eastAsia="宋体" w:hAnsi="ˎ̥" w:cs="宋体"/>
          <w:sz w:val="24"/>
          <w:szCs w:val="24"/>
        </w:rPr>
      </w:pPr>
      <w:r w:rsidRPr="00B61CCD">
        <w:rPr>
          <w:rFonts w:ascii="ˎ̥" w:eastAsia="宋体" w:hAnsi="ˎ̥" w:cs="宋体"/>
          <w:sz w:val="24"/>
          <w:szCs w:val="24"/>
        </w:rPr>
        <w:t>四川省人民政府办公厅</w:t>
      </w:r>
      <w:r w:rsidRPr="00B61CCD">
        <w:rPr>
          <w:rFonts w:ascii="ˎ̥" w:eastAsia="宋体" w:hAnsi="ˎ̥" w:cs="宋体"/>
          <w:sz w:val="24"/>
          <w:szCs w:val="24"/>
        </w:rPr>
        <w:br/>
      </w:r>
      <w:r w:rsidRPr="00B61CCD">
        <w:rPr>
          <w:rFonts w:ascii="ˎ̥" w:eastAsia="宋体" w:hAnsi="ˎ̥" w:cs="宋体"/>
          <w:sz w:val="24"/>
          <w:szCs w:val="24"/>
        </w:rPr>
        <w:br/>
        <w:t>2014</w:t>
      </w:r>
      <w:r w:rsidRPr="00B61CCD">
        <w:rPr>
          <w:rFonts w:ascii="ˎ̥" w:eastAsia="宋体" w:hAnsi="ˎ̥" w:cs="宋体"/>
          <w:sz w:val="24"/>
          <w:szCs w:val="24"/>
        </w:rPr>
        <w:t>年</w:t>
      </w:r>
      <w:r w:rsidRPr="00B61CCD">
        <w:rPr>
          <w:rFonts w:ascii="ˎ̥" w:eastAsia="宋体" w:hAnsi="ˎ̥" w:cs="宋体"/>
          <w:sz w:val="24"/>
          <w:szCs w:val="24"/>
        </w:rPr>
        <w:t>8</w:t>
      </w:r>
      <w:r w:rsidRPr="00B61CCD">
        <w:rPr>
          <w:rFonts w:ascii="ˎ̥" w:eastAsia="宋体" w:hAnsi="ˎ̥" w:cs="宋体"/>
          <w:sz w:val="24"/>
          <w:szCs w:val="24"/>
        </w:rPr>
        <w:t>月</w:t>
      </w:r>
      <w:r w:rsidRPr="00B61CCD">
        <w:rPr>
          <w:rFonts w:ascii="ˎ̥" w:eastAsia="宋体" w:hAnsi="ˎ̥" w:cs="宋体"/>
          <w:sz w:val="24"/>
          <w:szCs w:val="24"/>
        </w:rPr>
        <w:t>12</w:t>
      </w:r>
      <w:r w:rsidRPr="00B61CCD">
        <w:rPr>
          <w:rFonts w:ascii="ˎ̥" w:eastAsia="宋体" w:hAnsi="ˎ̥" w:cs="宋体"/>
          <w:sz w:val="24"/>
          <w:szCs w:val="24"/>
        </w:rPr>
        <w:t>日</w:t>
      </w:r>
    </w:p>
    <w:p w:rsidR="00B61CCD" w:rsidRPr="00B61CCD" w:rsidRDefault="00B61CCD" w:rsidP="00B61CCD">
      <w:pPr>
        <w:shd w:val="clear" w:color="auto" w:fill="FFFFFF"/>
        <w:adjustRightInd/>
        <w:snapToGrid/>
        <w:spacing w:before="100" w:beforeAutospacing="1" w:after="240" w:line="390" w:lineRule="atLeast"/>
        <w:jc w:val="center"/>
        <w:rPr>
          <w:rFonts w:ascii="ˎ̥" w:eastAsia="宋体" w:hAnsi="ˎ̥" w:cs="宋体"/>
          <w:sz w:val="24"/>
          <w:szCs w:val="24"/>
        </w:rPr>
      </w:pPr>
      <w:r w:rsidRPr="00B61CCD">
        <w:rPr>
          <w:rFonts w:ascii="ˎ̥" w:eastAsia="宋体" w:hAnsi="ˎ̥" w:cs="宋体"/>
          <w:b/>
          <w:bCs/>
          <w:sz w:val="24"/>
          <w:szCs w:val="24"/>
        </w:rPr>
        <w:t>支持外商投资企业发展八条措施</w:t>
      </w:r>
      <w:r w:rsidRPr="00B61CCD">
        <w:rPr>
          <w:rFonts w:ascii="ˎ̥" w:eastAsia="宋体" w:hAnsi="ˎ̥" w:cs="宋体"/>
          <w:sz w:val="24"/>
          <w:szCs w:val="24"/>
        </w:rPr>
        <w:t xml:space="preserve"> </w:t>
      </w:r>
    </w:p>
    <w:p w:rsidR="00B61CCD" w:rsidRPr="00B61CCD" w:rsidRDefault="00B61CCD" w:rsidP="00B61CCD">
      <w:pPr>
        <w:shd w:val="clear" w:color="auto" w:fill="FFFFFF"/>
        <w:adjustRightInd/>
        <w:snapToGrid/>
        <w:spacing w:before="100" w:beforeAutospacing="1" w:after="100" w:afterAutospacing="1" w:line="390" w:lineRule="atLeast"/>
        <w:rPr>
          <w:rFonts w:ascii="ˎ̥" w:eastAsia="宋体" w:hAnsi="ˎ̥" w:cs="宋体"/>
          <w:sz w:val="24"/>
          <w:szCs w:val="24"/>
        </w:rPr>
      </w:pPr>
      <w:r w:rsidRPr="00B61CCD">
        <w:rPr>
          <w:rFonts w:ascii="ˎ̥" w:eastAsia="宋体" w:hAnsi="ˎ̥" w:cs="宋体"/>
          <w:sz w:val="24"/>
          <w:szCs w:val="24"/>
        </w:rPr>
        <w:t xml:space="preserve">　　一、下放核准及备案权限促进投资便利。认真落实《外商投资项目核准和备案管理办法》（国家发展改革委</w:t>
      </w:r>
      <w:r w:rsidRPr="00B61CCD">
        <w:rPr>
          <w:rFonts w:ascii="ˎ̥" w:eastAsia="宋体" w:hAnsi="ˎ̥" w:cs="宋体"/>
          <w:sz w:val="24"/>
          <w:szCs w:val="24"/>
        </w:rPr>
        <w:t>2014</w:t>
      </w:r>
      <w:r w:rsidRPr="00B61CCD">
        <w:rPr>
          <w:rFonts w:ascii="ˎ̥" w:eastAsia="宋体" w:hAnsi="ˎ̥" w:cs="宋体"/>
          <w:sz w:val="24"/>
          <w:szCs w:val="24"/>
        </w:rPr>
        <w:t>年第</w:t>
      </w:r>
      <w:r w:rsidRPr="00B61CCD">
        <w:rPr>
          <w:rFonts w:ascii="ˎ̥" w:eastAsia="宋体" w:hAnsi="ˎ̥" w:cs="宋体"/>
          <w:sz w:val="24"/>
          <w:szCs w:val="24"/>
        </w:rPr>
        <w:t>12</w:t>
      </w:r>
      <w:r w:rsidRPr="00B61CCD">
        <w:rPr>
          <w:rFonts w:ascii="ˎ̥" w:eastAsia="宋体" w:hAnsi="ˎ̥" w:cs="宋体"/>
          <w:sz w:val="24"/>
          <w:szCs w:val="24"/>
        </w:rPr>
        <w:t>号令）精神，制定发布《四川省外商投资项目核准和备案管理办法》，将《外商投资产业指导目录》中有中方控股（含相对控股）要求的总投资（含增资）</w:t>
      </w:r>
      <w:r w:rsidRPr="00B61CCD">
        <w:rPr>
          <w:rFonts w:ascii="ˎ̥" w:eastAsia="宋体" w:hAnsi="ˎ̥" w:cs="宋体"/>
          <w:sz w:val="24"/>
          <w:szCs w:val="24"/>
        </w:rPr>
        <w:t>1</w:t>
      </w:r>
      <w:r w:rsidRPr="00B61CCD">
        <w:rPr>
          <w:rFonts w:ascii="ˎ̥" w:eastAsia="宋体" w:hAnsi="ˎ̥" w:cs="宋体"/>
          <w:sz w:val="24"/>
          <w:szCs w:val="24"/>
        </w:rPr>
        <w:t>亿美元以下鼓励类项目由市（州）、县（市、区）政府投资主管部门核准；总投资</w:t>
      </w:r>
      <w:r w:rsidRPr="00B61CCD">
        <w:rPr>
          <w:rFonts w:ascii="ˎ̥" w:eastAsia="宋体" w:hAnsi="ˎ̥" w:cs="宋体"/>
          <w:sz w:val="24"/>
          <w:szCs w:val="24"/>
        </w:rPr>
        <w:t>3</w:t>
      </w:r>
      <w:r w:rsidRPr="00B61CCD">
        <w:rPr>
          <w:rFonts w:ascii="ˎ̥" w:eastAsia="宋体" w:hAnsi="ˎ̥" w:cs="宋体"/>
          <w:sz w:val="24"/>
          <w:szCs w:val="24"/>
        </w:rPr>
        <w:t>亿美元以下备案类项目，由市（州）、县（市、区）政府投资主管部门根据权限备案。将投资总额</w:t>
      </w:r>
      <w:r w:rsidRPr="00B61CCD">
        <w:rPr>
          <w:rFonts w:ascii="ˎ̥" w:eastAsia="宋体" w:hAnsi="ˎ̥" w:cs="宋体"/>
          <w:sz w:val="24"/>
          <w:szCs w:val="24"/>
        </w:rPr>
        <w:t>1</w:t>
      </w:r>
      <w:r w:rsidRPr="00B61CCD">
        <w:rPr>
          <w:rFonts w:ascii="ˎ̥" w:eastAsia="宋体" w:hAnsi="ˎ̥" w:cs="宋体"/>
          <w:sz w:val="24"/>
          <w:szCs w:val="24"/>
        </w:rPr>
        <w:t>亿美元以下（不含</w:t>
      </w:r>
      <w:r w:rsidRPr="00B61CCD">
        <w:rPr>
          <w:rFonts w:ascii="ˎ̥" w:eastAsia="宋体" w:hAnsi="ˎ̥" w:cs="宋体"/>
          <w:sz w:val="24"/>
          <w:szCs w:val="24"/>
        </w:rPr>
        <w:t>1</w:t>
      </w:r>
      <w:r w:rsidRPr="00B61CCD">
        <w:rPr>
          <w:rFonts w:ascii="ˎ̥" w:eastAsia="宋体" w:hAnsi="ˎ̥" w:cs="宋体"/>
          <w:sz w:val="24"/>
          <w:szCs w:val="24"/>
        </w:rPr>
        <w:t>亿美元）鼓励类、允许类的外商投资企业合同章程的审批及变更事项的审批（有专项规定的除外）下放给县（市、区）政府商务主管</w:t>
      </w:r>
      <w:r w:rsidRPr="00B61CCD">
        <w:rPr>
          <w:rFonts w:ascii="ˎ̥" w:eastAsia="宋体" w:hAnsi="ˎ̥" w:cs="宋体"/>
          <w:sz w:val="24"/>
          <w:szCs w:val="24"/>
        </w:rPr>
        <w:lastRenderedPageBreak/>
        <w:t>部门。全面推行外商投资企业注册资本金认缴制，探索实行工商营业执照、组织机构代码证和税务登记证</w:t>
      </w:r>
      <w:r w:rsidRPr="00B61CCD">
        <w:rPr>
          <w:rFonts w:ascii="ˎ̥" w:eastAsia="宋体" w:hAnsi="ˎ̥" w:cs="宋体"/>
          <w:sz w:val="24"/>
          <w:szCs w:val="24"/>
        </w:rPr>
        <w:t>“</w:t>
      </w:r>
      <w:r w:rsidRPr="00B61CCD">
        <w:rPr>
          <w:rFonts w:ascii="ˎ̥" w:eastAsia="宋体" w:hAnsi="ˎ̥" w:cs="宋体"/>
          <w:sz w:val="24"/>
          <w:szCs w:val="24"/>
        </w:rPr>
        <w:t>三证合一</w:t>
      </w:r>
      <w:r w:rsidRPr="00B61CCD">
        <w:rPr>
          <w:rFonts w:ascii="ˎ̥" w:eastAsia="宋体" w:hAnsi="ˎ̥" w:cs="宋体"/>
          <w:sz w:val="24"/>
          <w:szCs w:val="24"/>
        </w:rPr>
        <w:t>”</w:t>
      </w:r>
      <w:r w:rsidRPr="00B61CCD">
        <w:rPr>
          <w:rFonts w:ascii="ˎ̥" w:eastAsia="宋体" w:hAnsi="ˎ̥" w:cs="宋体"/>
          <w:sz w:val="24"/>
          <w:szCs w:val="24"/>
        </w:rPr>
        <w:t>登记制度。（责任部门：省发展改革委、省经济和信息化委、商务厅、省工商局）</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二、加快通关便利化改革。在全省范围内全面推行海关和检验检疫一次申报、一次查验、一次放行的监管模式。在海关特殊监管区域推行凭舱单</w:t>
      </w:r>
      <w:r w:rsidRPr="00B61CCD">
        <w:rPr>
          <w:rFonts w:ascii="ˎ̥" w:eastAsia="宋体" w:hAnsi="ˎ̥" w:cs="宋体"/>
          <w:sz w:val="24"/>
          <w:szCs w:val="24"/>
        </w:rPr>
        <w:t>“</w:t>
      </w:r>
      <w:r w:rsidRPr="00B61CCD">
        <w:rPr>
          <w:rFonts w:ascii="ˎ̥" w:eastAsia="宋体" w:hAnsi="ˎ̥" w:cs="宋体"/>
          <w:sz w:val="24"/>
          <w:szCs w:val="24"/>
        </w:rPr>
        <w:t>先入区，后报关</w:t>
      </w:r>
      <w:r w:rsidRPr="00B61CCD">
        <w:rPr>
          <w:rFonts w:ascii="ˎ̥" w:eastAsia="宋体" w:hAnsi="ˎ̥" w:cs="宋体"/>
          <w:sz w:val="24"/>
          <w:szCs w:val="24"/>
        </w:rPr>
        <w:t>”</w:t>
      </w:r>
      <w:r w:rsidRPr="00B61CCD">
        <w:rPr>
          <w:rFonts w:ascii="ˎ̥" w:eastAsia="宋体" w:hAnsi="ˎ̥" w:cs="宋体"/>
          <w:sz w:val="24"/>
          <w:szCs w:val="24"/>
        </w:rPr>
        <w:t>、区内自行运输、集中申报等通关便利化措施。建立贸易、运输、加工、仓储等业务的跨部门综合管理服务平台，推动口岸监管部门信息互换、监管互认、执法互助。加快通关作业改革无纸化进程，全面实现通关作业无纸化，进一步提高外贸便利化水平。（责任部门：省政府口岸办、成都海关、商务厅、四川出入境检验检疫局、省政府物流办）</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三、帮扶企业提高市场竞争力。商务部门要切实使用好外经贸发展促进资金，鼓励和引导外商投资企业参加</w:t>
      </w:r>
      <w:r w:rsidRPr="00B61CCD">
        <w:rPr>
          <w:rFonts w:ascii="ˎ̥" w:eastAsia="宋体" w:hAnsi="ˎ̥" w:cs="宋体"/>
          <w:sz w:val="24"/>
          <w:szCs w:val="24"/>
        </w:rPr>
        <w:t>“</w:t>
      </w:r>
      <w:r w:rsidRPr="00B61CCD">
        <w:rPr>
          <w:rFonts w:ascii="ˎ̥" w:eastAsia="宋体" w:hAnsi="ˎ̥" w:cs="宋体"/>
          <w:sz w:val="24"/>
          <w:szCs w:val="24"/>
        </w:rPr>
        <w:t>万企出国门</w:t>
      </w:r>
      <w:r w:rsidRPr="00B61CCD">
        <w:rPr>
          <w:rFonts w:ascii="ˎ̥" w:eastAsia="宋体" w:hAnsi="ˎ̥" w:cs="宋体"/>
          <w:sz w:val="24"/>
          <w:szCs w:val="24"/>
        </w:rPr>
        <w:t>”</w:t>
      </w:r>
      <w:r w:rsidRPr="00B61CCD">
        <w:rPr>
          <w:rFonts w:ascii="ˎ̥" w:eastAsia="宋体" w:hAnsi="ˎ̥" w:cs="宋体"/>
          <w:sz w:val="24"/>
          <w:szCs w:val="24"/>
        </w:rPr>
        <w:t>、</w:t>
      </w:r>
      <w:r w:rsidRPr="00B61CCD">
        <w:rPr>
          <w:rFonts w:ascii="ˎ̥" w:eastAsia="宋体" w:hAnsi="ˎ̥" w:cs="宋体"/>
          <w:sz w:val="24"/>
          <w:szCs w:val="24"/>
        </w:rPr>
        <w:t>“</w:t>
      </w:r>
      <w:r w:rsidRPr="00B61CCD">
        <w:rPr>
          <w:rFonts w:ascii="ˎ̥" w:eastAsia="宋体" w:hAnsi="ˎ̥" w:cs="宋体"/>
          <w:sz w:val="24"/>
          <w:szCs w:val="24"/>
        </w:rPr>
        <w:t>川货全国行</w:t>
      </w:r>
      <w:r w:rsidRPr="00B61CCD">
        <w:rPr>
          <w:rFonts w:ascii="ˎ̥" w:eastAsia="宋体" w:hAnsi="ˎ̥" w:cs="宋体"/>
          <w:sz w:val="24"/>
          <w:szCs w:val="24"/>
        </w:rPr>
        <w:t>”</w:t>
      </w:r>
      <w:r w:rsidRPr="00B61CCD">
        <w:rPr>
          <w:rFonts w:ascii="ˎ̥" w:eastAsia="宋体" w:hAnsi="ˎ̥" w:cs="宋体"/>
          <w:sz w:val="24"/>
          <w:szCs w:val="24"/>
        </w:rPr>
        <w:t>、</w:t>
      </w:r>
      <w:r w:rsidRPr="00B61CCD">
        <w:rPr>
          <w:rFonts w:ascii="ˎ̥" w:eastAsia="宋体" w:hAnsi="ˎ̥" w:cs="宋体"/>
          <w:sz w:val="24"/>
          <w:szCs w:val="24"/>
        </w:rPr>
        <w:t>“</w:t>
      </w:r>
      <w:r w:rsidRPr="00B61CCD">
        <w:rPr>
          <w:rFonts w:ascii="ˎ̥" w:eastAsia="宋体" w:hAnsi="ˎ̥" w:cs="宋体"/>
          <w:sz w:val="24"/>
          <w:szCs w:val="24"/>
        </w:rPr>
        <w:t>惠民购物全川行动</w:t>
      </w:r>
      <w:r w:rsidRPr="00B61CCD">
        <w:rPr>
          <w:rFonts w:ascii="ˎ̥" w:eastAsia="宋体" w:hAnsi="ˎ̥" w:cs="宋体"/>
          <w:sz w:val="24"/>
          <w:szCs w:val="24"/>
        </w:rPr>
        <w:t>”</w:t>
      </w:r>
      <w:r w:rsidRPr="00B61CCD">
        <w:rPr>
          <w:rFonts w:ascii="ˎ̥" w:eastAsia="宋体" w:hAnsi="ˎ̥" w:cs="宋体"/>
          <w:sz w:val="24"/>
          <w:szCs w:val="24"/>
        </w:rPr>
        <w:t>市场拓展三大活动，对参加国（境）外展会的外商投资企业给予展位费支持。对参加国内外知名专业展会、构建境外营销网络的企业给予支持。对参加中国进出口商品交易会的生产企业和首次获得品牌展位的外商投资企业以及在海外建立国际营销网点的外商投资企业给予支持。定期组织外商投资企业赴市（州）开展投资及产销对接，帮扶外商投资企业延伸投资产业链，促进本地采购降低产销成本。（责任部门：商务厅）</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四、完善引进重大项目要素保障机制。允许外商投资企业参与我省公路、铁路、能源、电信、水利、市政基础设施、保障性住房、医疗卫生、养老等领域的示范性重大项目并在土地、能源、用工等要素保障方面重点支持。对列入我省重大推进项目和重点支持项目的外商投资项目建设用地计划，列入省重大推进项目的省上配套</w:t>
      </w:r>
      <w:r w:rsidRPr="00B61CCD">
        <w:rPr>
          <w:rFonts w:ascii="ˎ̥" w:eastAsia="宋体" w:hAnsi="ˎ̥" w:cs="宋体"/>
          <w:sz w:val="24"/>
          <w:szCs w:val="24"/>
        </w:rPr>
        <w:t>70%</w:t>
      </w:r>
      <w:r w:rsidRPr="00B61CCD">
        <w:rPr>
          <w:rFonts w:ascii="ˎ̥" w:eastAsia="宋体" w:hAnsi="ˎ̥" w:cs="宋体"/>
          <w:sz w:val="24"/>
          <w:szCs w:val="24"/>
        </w:rPr>
        <w:t>、地方配套</w:t>
      </w:r>
      <w:r w:rsidRPr="00B61CCD">
        <w:rPr>
          <w:rFonts w:ascii="ˎ̥" w:eastAsia="宋体" w:hAnsi="ˎ̥" w:cs="宋体"/>
          <w:sz w:val="24"/>
          <w:szCs w:val="24"/>
        </w:rPr>
        <w:t>30%</w:t>
      </w:r>
      <w:r w:rsidRPr="00B61CCD">
        <w:rPr>
          <w:rFonts w:ascii="ˎ̥" w:eastAsia="宋体" w:hAnsi="ˎ̥" w:cs="宋体"/>
          <w:sz w:val="24"/>
          <w:szCs w:val="24"/>
        </w:rPr>
        <w:t>；列入省重点支持项目的省上配套</w:t>
      </w:r>
      <w:r w:rsidRPr="00B61CCD">
        <w:rPr>
          <w:rFonts w:ascii="ˎ̥" w:eastAsia="宋体" w:hAnsi="ˎ̥" w:cs="宋体"/>
          <w:sz w:val="24"/>
          <w:szCs w:val="24"/>
        </w:rPr>
        <w:t>30%</w:t>
      </w:r>
      <w:r w:rsidRPr="00B61CCD">
        <w:rPr>
          <w:rFonts w:ascii="ˎ̥" w:eastAsia="宋体" w:hAnsi="ˎ̥" w:cs="宋体"/>
          <w:sz w:val="24"/>
          <w:szCs w:val="24"/>
        </w:rPr>
        <w:t>、地方配套</w:t>
      </w:r>
      <w:r w:rsidRPr="00B61CCD">
        <w:rPr>
          <w:rFonts w:ascii="ˎ̥" w:eastAsia="宋体" w:hAnsi="ˎ̥" w:cs="宋体"/>
          <w:sz w:val="24"/>
          <w:szCs w:val="24"/>
        </w:rPr>
        <w:t>70%</w:t>
      </w:r>
      <w:r w:rsidRPr="00B61CCD">
        <w:rPr>
          <w:rFonts w:ascii="ˎ̥" w:eastAsia="宋体" w:hAnsi="ˎ̥" w:cs="宋体"/>
          <w:sz w:val="24"/>
          <w:szCs w:val="24"/>
        </w:rPr>
        <w:t>。鼓励外商投资工业企业在符合规划、不改变原用途的前提下，利用存量土地新建工业厂房或增加原厂房层数与容量，提高土地容积率不再征收土地价款。支持和引导境外资本有序进入土地市场，享受其他投资主体平等待遇。外商投资项目用地符合《划拨供地目录》要求的，可采取划拨方式供地。搭建高效便捷国际物流服务平台，降低外商投资企业物流成本。加强电力保障，将符合条件的外商投资企业纳入全省直购电试点、留存电量和丰水期富余电量消纳政策实施范围。进一步优化用气结构，确保天然气留用，从国家层面积极争取迎峰度冬天然气资源量，尽力保障符合产业政策和产业发展规划的重点外商投资企业生产用天然气需求。协调金融机构加大对重点支持类外</w:t>
      </w:r>
      <w:r w:rsidRPr="00B61CCD">
        <w:rPr>
          <w:rFonts w:ascii="ˎ̥" w:eastAsia="宋体" w:hAnsi="ˎ̥" w:cs="宋体"/>
          <w:sz w:val="24"/>
          <w:szCs w:val="24"/>
        </w:rPr>
        <w:lastRenderedPageBreak/>
        <w:t>商投资重大项目的信贷支持力度。创新对外商投资企业的授信和审贷模式，在风险可控范围内适当延长授信期限，设置更加灵活的还款方式和法律许可前提下的多种担保方式。（责任部门：国土资源厅、省经济和信息化委、财政厅、人力资源社会保障厅、省能源局、省政府金融办、省政府物流办、交通运输厅、国家外汇管理局四川省分局、人行成都分行）</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五、落实税费扶持政策。对符合《外商投资产业指导目录》鼓励类外商投资项目、《中西部地区外商投资优势产业目录》四川目录部分项目，投资总额内自用进口设备，除《外商投资项目不予免税的进口商品目录》及《进口不予免税的重大技术装备和产品目录》所列商品外，免征关税。以上述产业项目为主营业务且其当年度主营业务收入占企业收入总额</w:t>
      </w:r>
      <w:r w:rsidRPr="00B61CCD">
        <w:rPr>
          <w:rFonts w:ascii="ˎ̥" w:eastAsia="宋体" w:hAnsi="ˎ̥" w:cs="宋体"/>
          <w:sz w:val="24"/>
          <w:szCs w:val="24"/>
        </w:rPr>
        <w:t>70%</w:t>
      </w:r>
      <w:r w:rsidRPr="00B61CCD">
        <w:rPr>
          <w:rFonts w:ascii="ˎ̥" w:eastAsia="宋体" w:hAnsi="ˎ̥" w:cs="宋体"/>
          <w:sz w:val="24"/>
          <w:szCs w:val="24"/>
        </w:rPr>
        <w:t>以上的外商投资企业，可以申请减按</w:t>
      </w:r>
      <w:r w:rsidRPr="00B61CCD">
        <w:rPr>
          <w:rFonts w:ascii="ˎ̥" w:eastAsia="宋体" w:hAnsi="ˎ̥" w:cs="宋体"/>
          <w:sz w:val="24"/>
          <w:szCs w:val="24"/>
        </w:rPr>
        <w:t>15%</w:t>
      </w:r>
      <w:r w:rsidRPr="00B61CCD">
        <w:rPr>
          <w:rFonts w:ascii="ˎ̥" w:eastAsia="宋体" w:hAnsi="ˎ̥" w:cs="宋体"/>
          <w:sz w:val="24"/>
          <w:szCs w:val="24"/>
        </w:rPr>
        <w:t>税率缴纳企业所得税，此项政策执行至</w:t>
      </w:r>
      <w:r w:rsidRPr="00B61CCD">
        <w:rPr>
          <w:rFonts w:ascii="ˎ̥" w:eastAsia="宋体" w:hAnsi="ˎ̥" w:cs="宋体"/>
          <w:sz w:val="24"/>
          <w:szCs w:val="24"/>
        </w:rPr>
        <w:t>2020</w:t>
      </w:r>
      <w:r w:rsidRPr="00B61CCD">
        <w:rPr>
          <w:rFonts w:ascii="ˎ̥" w:eastAsia="宋体" w:hAnsi="ˎ̥" w:cs="宋体"/>
          <w:sz w:val="24"/>
          <w:szCs w:val="24"/>
        </w:rPr>
        <w:t>年</w:t>
      </w:r>
      <w:r w:rsidRPr="00B61CCD">
        <w:rPr>
          <w:rFonts w:ascii="ˎ̥" w:eastAsia="宋体" w:hAnsi="ˎ̥" w:cs="宋体"/>
          <w:sz w:val="24"/>
          <w:szCs w:val="24"/>
        </w:rPr>
        <w:t>12</w:t>
      </w:r>
      <w:r w:rsidRPr="00B61CCD">
        <w:rPr>
          <w:rFonts w:ascii="ˎ̥" w:eastAsia="宋体" w:hAnsi="ˎ̥" w:cs="宋体"/>
          <w:sz w:val="24"/>
          <w:szCs w:val="24"/>
        </w:rPr>
        <w:t>月</w:t>
      </w:r>
      <w:r w:rsidRPr="00B61CCD">
        <w:rPr>
          <w:rFonts w:ascii="ˎ̥" w:eastAsia="宋体" w:hAnsi="ˎ̥" w:cs="宋体"/>
          <w:sz w:val="24"/>
          <w:szCs w:val="24"/>
        </w:rPr>
        <w:t>31</w:t>
      </w:r>
      <w:r w:rsidRPr="00B61CCD">
        <w:rPr>
          <w:rFonts w:ascii="ˎ̥" w:eastAsia="宋体" w:hAnsi="ˎ̥" w:cs="宋体"/>
          <w:sz w:val="24"/>
          <w:szCs w:val="24"/>
        </w:rPr>
        <w:t>日。</w:t>
      </w:r>
      <w:r w:rsidRPr="00B61CCD">
        <w:rPr>
          <w:rFonts w:ascii="ˎ̥" w:eastAsia="宋体" w:hAnsi="ˎ̥" w:cs="宋体"/>
          <w:sz w:val="24"/>
          <w:szCs w:val="24"/>
        </w:rPr>
        <w:t>2010</w:t>
      </w:r>
      <w:r w:rsidRPr="00B61CCD">
        <w:rPr>
          <w:rFonts w:ascii="ˎ̥" w:eastAsia="宋体" w:hAnsi="ˎ̥" w:cs="宋体"/>
          <w:sz w:val="24"/>
          <w:szCs w:val="24"/>
        </w:rPr>
        <w:t>年</w:t>
      </w:r>
      <w:r w:rsidRPr="00B61CCD">
        <w:rPr>
          <w:rFonts w:ascii="ˎ̥" w:eastAsia="宋体" w:hAnsi="ˎ̥" w:cs="宋体"/>
          <w:sz w:val="24"/>
          <w:szCs w:val="24"/>
        </w:rPr>
        <w:t>12</w:t>
      </w:r>
      <w:r w:rsidRPr="00B61CCD">
        <w:rPr>
          <w:rFonts w:ascii="ˎ̥" w:eastAsia="宋体" w:hAnsi="ˎ̥" w:cs="宋体"/>
          <w:sz w:val="24"/>
          <w:szCs w:val="24"/>
        </w:rPr>
        <w:t>月</w:t>
      </w:r>
      <w:r w:rsidRPr="00B61CCD">
        <w:rPr>
          <w:rFonts w:ascii="ˎ̥" w:eastAsia="宋体" w:hAnsi="ˎ̥" w:cs="宋体"/>
          <w:sz w:val="24"/>
          <w:szCs w:val="24"/>
        </w:rPr>
        <w:t>31</w:t>
      </w:r>
      <w:r w:rsidRPr="00B61CCD">
        <w:rPr>
          <w:rFonts w:ascii="ˎ̥" w:eastAsia="宋体" w:hAnsi="ˎ̥" w:cs="宋体"/>
          <w:sz w:val="24"/>
          <w:szCs w:val="24"/>
        </w:rPr>
        <w:t>日前新办的交通、电力、水利、邮政、广播电视企业，按规定享受原西部大开发</w:t>
      </w:r>
      <w:r w:rsidRPr="00B61CCD">
        <w:rPr>
          <w:rFonts w:ascii="ˎ̥" w:eastAsia="宋体" w:hAnsi="ˎ̥" w:cs="宋体"/>
          <w:sz w:val="24"/>
          <w:szCs w:val="24"/>
        </w:rPr>
        <w:t>“</w:t>
      </w:r>
      <w:r w:rsidRPr="00B61CCD">
        <w:rPr>
          <w:rFonts w:ascii="ˎ̥" w:eastAsia="宋体" w:hAnsi="ˎ̥" w:cs="宋体"/>
          <w:sz w:val="24"/>
          <w:szCs w:val="24"/>
        </w:rPr>
        <w:t>两免三减半</w:t>
      </w:r>
      <w:r w:rsidRPr="00B61CCD">
        <w:rPr>
          <w:rFonts w:ascii="ˎ̥" w:eastAsia="宋体" w:hAnsi="ˎ̥" w:cs="宋体"/>
          <w:sz w:val="24"/>
          <w:szCs w:val="24"/>
        </w:rPr>
        <w:t>”</w:t>
      </w:r>
      <w:r w:rsidRPr="00B61CCD">
        <w:rPr>
          <w:rFonts w:ascii="ˎ̥" w:eastAsia="宋体" w:hAnsi="ˎ̥" w:cs="宋体"/>
          <w:sz w:val="24"/>
          <w:szCs w:val="24"/>
        </w:rPr>
        <w:t>税收优惠的，可以继续享受至期满为止。（责任部门：省发展改革委、省经济和信息化委、商务厅、成都海关、省国税局、省地税局）</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六、支持外商投资企业转型发展。鼓励外商投资企业产业升级，确立一批行业龙头企业给予扶持，推动产业链低端走向中高端。支持企业加强技术创新，参与构建产学研创新联盟。支持外商投资企业积极参与国家、省科技计划项目。支持外商投资企业境内外上市融资，鼓励企业增资扩股。加强对企业综合发展的宣传，对业绩优异的优秀企业进行表扬和适当的奖励。对投资投资性公司、研发中心、采购中心等功能性机构落户给予支持和鼓励，推动跨国公司把四川作为中国西部地区区域总部。（责任部门：科技厅、商务厅、省政府新闻办）</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七、进一步落实外商投资企业国民待遇。放宽准入条件，消除隐性门槛和附加条件，鼓励发展混合所有制企业，加快基础设施、社会事业和公共服务领域向外资开放。加大对市场侵权行为的执法查处力度，依法保护外商投资企业的各类知识产权，鼓励其技术创新。在税收减免、财政资金扶持、科技进步、新产品研发、企业技改、政府采购、公共项目招投标等方面，凡是法律法规没有明令规定限制或禁止的，内外资企业享有同等条件同等待遇。〔责任部门：省发展改革委、省工商局、商务厅、科技厅、省经济和信息化委、各市（州）人民政府〕</w:t>
      </w:r>
      <w:r w:rsidRPr="00B61CCD">
        <w:rPr>
          <w:rFonts w:ascii="ˎ̥" w:eastAsia="宋体" w:hAnsi="ˎ̥" w:cs="宋体"/>
          <w:sz w:val="24"/>
          <w:szCs w:val="24"/>
        </w:rPr>
        <w:br/>
      </w:r>
      <w:r w:rsidRPr="00B61CCD">
        <w:rPr>
          <w:rFonts w:ascii="ˎ̥" w:eastAsia="宋体" w:hAnsi="ˎ̥" w:cs="宋体"/>
          <w:sz w:val="24"/>
          <w:szCs w:val="24"/>
        </w:rPr>
        <w:br/>
      </w:r>
      <w:r w:rsidRPr="00B61CCD">
        <w:rPr>
          <w:rFonts w:ascii="ˎ̥" w:eastAsia="宋体" w:hAnsi="ˎ̥" w:cs="宋体"/>
          <w:sz w:val="24"/>
          <w:szCs w:val="24"/>
        </w:rPr>
        <w:t xml:space="preserve">　　八、加强政务服务保障。推行行政审批目录管理，推进省、市、县三级联</w:t>
      </w:r>
      <w:r w:rsidRPr="00B61CCD">
        <w:rPr>
          <w:rFonts w:ascii="ˎ̥" w:eastAsia="宋体" w:hAnsi="ˎ̥" w:cs="宋体"/>
          <w:sz w:val="24"/>
          <w:szCs w:val="24"/>
        </w:rPr>
        <w:lastRenderedPageBreak/>
        <w:t>网运行，推行外商投资企业年度运营情况联合申报，推进外商投资企业网上合同、章程格式化审批登记，实现审批登记互联互通。建立完善外商投诉协调处理机制，发挥外商投资企业协会纽带桥梁作用，及时协调处理企业反映的问题。对落户的境外世界</w:t>
      </w:r>
      <w:r w:rsidRPr="00B61CCD">
        <w:rPr>
          <w:rFonts w:ascii="ˎ̥" w:eastAsia="宋体" w:hAnsi="ˎ̥" w:cs="宋体"/>
          <w:sz w:val="24"/>
          <w:szCs w:val="24"/>
        </w:rPr>
        <w:t>500</w:t>
      </w:r>
      <w:r w:rsidRPr="00B61CCD">
        <w:rPr>
          <w:rFonts w:ascii="ˎ̥" w:eastAsia="宋体" w:hAnsi="ˎ̥" w:cs="宋体"/>
          <w:sz w:val="24"/>
          <w:szCs w:val="24"/>
        </w:rPr>
        <w:t>强企业和知名跨国公司主动沟通对接，了解发展需求和发展战略，提供合作信息，推荐企业合作，推动企业增资扩产。强化对外商投资项目落地实施的跟踪服务，推行重大产业项目各级投资促进部门代办制和项目专员制。人力资源社会保障部门对外资企业外国专家办理《外国专家来华工作许可》、《外国专家证》提供高效快捷服务。公安部门对符合鼓励类项目外商投资企业和有重大贡献外商投资企业外籍人员及家属入境、居留许可给予便利。各地应提高涉外医院医疗及学校水平，积极引进国际医院及外籍人员子女学校，切实解决外商投资企业的后顾之忧。〔责任部门：省政务服务管理办、省工商局、省政府外来企业投诉中心、商务厅、省投资促进局、人力资源社会保障厅、公安厅、省卫生计生委、教育厅、各市（州）人民政府〕</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92118"/>
    <w:multiLevelType w:val="multilevel"/>
    <w:tmpl w:val="B0C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D5617"/>
    <w:rsid w:val="00323B43"/>
    <w:rsid w:val="003D37D8"/>
    <w:rsid w:val="00426133"/>
    <w:rsid w:val="004358AB"/>
    <w:rsid w:val="008B7726"/>
    <w:rsid w:val="00B61CC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61CCD"/>
    <w:rPr>
      <w:i w:val="0"/>
      <w:iCs w:val="0"/>
    </w:rPr>
  </w:style>
</w:styles>
</file>

<file path=word/webSettings.xml><?xml version="1.0" encoding="utf-8"?>
<w:webSettings xmlns:r="http://schemas.openxmlformats.org/officeDocument/2006/relationships" xmlns:w="http://schemas.openxmlformats.org/wordprocessingml/2006/main">
  <w:divs>
    <w:div w:id="1084838856">
      <w:bodyDiv w:val="1"/>
      <w:marLeft w:val="0"/>
      <w:marRight w:val="0"/>
      <w:marTop w:val="0"/>
      <w:marBottom w:val="0"/>
      <w:divBdr>
        <w:top w:val="none" w:sz="0" w:space="0" w:color="auto"/>
        <w:left w:val="none" w:sz="0" w:space="0" w:color="auto"/>
        <w:bottom w:val="none" w:sz="0" w:space="0" w:color="auto"/>
        <w:right w:val="none" w:sz="0" w:space="0" w:color="auto"/>
      </w:divBdr>
      <w:divsChild>
        <w:div w:id="576205966">
          <w:marLeft w:val="0"/>
          <w:marRight w:val="0"/>
          <w:marTop w:val="0"/>
          <w:marBottom w:val="0"/>
          <w:divBdr>
            <w:top w:val="none" w:sz="0" w:space="0" w:color="auto"/>
            <w:left w:val="single" w:sz="36" w:space="0" w:color="FFFFFF"/>
            <w:bottom w:val="none" w:sz="0" w:space="0" w:color="auto"/>
            <w:right w:val="single" w:sz="36" w:space="0" w:color="FFFFFF"/>
          </w:divBdr>
          <w:divsChild>
            <w:div w:id="929698795">
              <w:marLeft w:val="0"/>
              <w:marRight w:val="0"/>
              <w:marTop w:val="0"/>
              <w:marBottom w:val="0"/>
              <w:divBdr>
                <w:top w:val="none" w:sz="0" w:space="0" w:color="auto"/>
                <w:left w:val="none" w:sz="0" w:space="0" w:color="auto"/>
                <w:bottom w:val="none" w:sz="0" w:space="0" w:color="auto"/>
                <w:right w:val="none" w:sz="0" w:space="0" w:color="auto"/>
              </w:divBdr>
              <w:divsChild>
                <w:div w:id="1620915569">
                  <w:marLeft w:val="0"/>
                  <w:marRight w:val="0"/>
                  <w:marTop w:val="0"/>
                  <w:marBottom w:val="0"/>
                  <w:divBdr>
                    <w:top w:val="none" w:sz="0" w:space="0" w:color="auto"/>
                    <w:left w:val="none" w:sz="0" w:space="0" w:color="auto"/>
                    <w:bottom w:val="none" w:sz="0" w:space="0" w:color="auto"/>
                    <w:right w:val="none" w:sz="0" w:space="0" w:color="auto"/>
                  </w:divBdr>
                  <w:divsChild>
                    <w:div w:id="1142499647">
                      <w:marLeft w:val="0"/>
                      <w:marRight w:val="0"/>
                      <w:marTop w:val="75"/>
                      <w:marBottom w:val="75"/>
                      <w:divBdr>
                        <w:top w:val="single" w:sz="6" w:space="19" w:color="CCCCCC"/>
                        <w:left w:val="single" w:sz="6" w:space="19" w:color="CCCCCC"/>
                        <w:bottom w:val="single" w:sz="6" w:space="19" w:color="CCCCCC"/>
                        <w:right w:val="single" w:sz="6" w:space="19" w:color="CCCCCC"/>
                      </w:divBdr>
                      <w:divsChild>
                        <w:div w:id="1108544783">
                          <w:marLeft w:val="0"/>
                          <w:marRight w:val="0"/>
                          <w:marTop w:val="150"/>
                          <w:marBottom w:val="0"/>
                          <w:divBdr>
                            <w:top w:val="none" w:sz="0" w:space="0" w:color="auto"/>
                            <w:left w:val="none" w:sz="0" w:space="0" w:color="auto"/>
                            <w:bottom w:val="none" w:sz="0" w:space="0" w:color="auto"/>
                            <w:right w:val="none" w:sz="0" w:space="0" w:color="auto"/>
                          </w:divBdr>
                          <w:divsChild>
                            <w:div w:id="557714280">
                              <w:marLeft w:val="0"/>
                              <w:marRight w:val="0"/>
                              <w:marTop w:val="0"/>
                              <w:marBottom w:val="0"/>
                              <w:divBdr>
                                <w:top w:val="none" w:sz="0" w:space="0" w:color="auto"/>
                                <w:left w:val="none" w:sz="0" w:space="0" w:color="auto"/>
                                <w:bottom w:val="none" w:sz="0" w:space="0" w:color="auto"/>
                                <w:right w:val="none" w:sz="0" w:space="0" w:color="auto"/>
                              </w:divBdr>
                              <w:divsChild>
                                <w:div w:id="19620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2018-05-23T18:51:00Z</dcterms:modified>
</cp:coreProperties>
</file>