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06A" w:rsidRPr="0010206A" w:rsidRDefault="0010206A" w:rsidP="0010206A">
      <w:pPr>
        <w:widowControl/>
        <w:shd w:val="clear" w:color="auto" w:fill="FFFFFF"/>
        <w:jc w:val="center"/>
        <w:rPr>
          <w:rFonts w:ascii="宋体" w:eastAsia="宋体" w:hAnsi="宋体" w:cs="宋体"/>
          <w:b/>
          <w:bCs/>
          <w:color w:val="CC0000"/>
          <w:kern w:val="0"/>
          <w:szCs w:val="21"/>
        </w:rPr>
      </w:pPr>
      <w:bookmarkStart w:id="0" w:name="_GoBack"/>
      <w:r w:rsidRPr="0010206A">
        <w:rPr>
          <w:rFonts w:ascii="宋体" w:eastAsia="宋体" w:hAnsi="宋体" w:cs="宋体" w:hint="eastAsia"/>
          <w:b/>
          <w:bCs/>
          <w:color w:val="CC0000"/>
          <w:kern w:val="0"/>
          <w:szCs w:val="21"/>
        </w:rPr>
        <w:t>兴国</w:t>
      </w:r>
      <w:proofErr w:type="gramStart"/>
      <w:r w:rsidRPr="0010206A">
        <w:rPr>
          <w:rFonts w:ascii="宋体" w:eastAsia="宋体" w:hAnsi="宋体" w:cs="宋体" w:hint="eastAsia"/>
          <w:b/>
          <w:bCs/>
          <w:color w:val="CC0000"/>
          <w:kern w:val="0"/>
          <w:szCs w:val="21"/>
        </w:rPr>
        <w:t>县鼓励</w:t>
      </w:r>
      <w:proofErr w:type="gramEnd"/>
      <w:r w:rsidRPr="0010206A">
        <w:rPr>
          <w:rFonts w:ascii="宋体" w:eastAsia="宋体" w:hAnsi="宋体" w:cs="宋体" w:hint="eastAsia"/>
          <w:b/>
          <w:bCs/>
          <w:color w:val="CC0000"/>
          <w:kern w:val="0"/>
          <w:szCs w:val="21"/>
        </w:rPr>
        <w:t>投资促进加快发展转型发展的优惠政策</w:t>
      </w:r>
    </w:p>
    <w:bookmarkEnd w:id="0"/>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为进一步扩大开放，鼓励县内外各类投资主体在我县投资，促进我县开放型经济又好又快发展，根据国家、省、市有关法律、法规和文件精神，制定本优惠政策。</w:t>
      </w:r>
    </w:p>
    <w:p w:rsidR="0010206A" w:rsidRPr="0010206A" w:rsidRDefault="0010206A" w:rsidP="0010206A">
      <w:pPr>
        <w:widowControl/>
        <w:shd w:val="clear" w:color="auto" w:fill="FFFFFF"/>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w:t>
      </w:r>
      <w:r w:rsidRPr="0010206A">
        <w:rPr>
          <w:rFonts w:ascii="宋体" w:eastAsia="宋体" w:hAnsi="宋体" w:cs="宋体" w:hint="eastAsia"/>
          <w:b/>
          <w:bCs/>
          <w:color w:val="333333"/>
          <w:kern w:val="0"/>
          <w:sz w:val="28"/>
          <w:szCs w:val="28"/>
        </w:rPr>
        <w:t>第一条</w:t>
      </w:r>
      <w:r w:rsidRPr="0010206A">
        <w:rPr>
          <w:rFonts w:ascii="宋体" w:eastAsia="宋体" w:hAnsi="宋体" w:cs="宋体" w:hint="eastAsia"/>
          <w:color w:val="333333"/>
          <w:kern w:val="0"/>
          <w:sz w:val="28"/>
          <w:szCs w:val="28"/>
        </w:rPr>
        <w:t>  凡在我县投资并办理法定手续的新批工业项目，在执行国家、省、市相应政策的同时，均可执行本优惠政策。</w:t>
      </w:r>
    </w:p>
    <w:p w:rsidR="0010206A" w:rsidRPr="0010206A" w:rsidRDefault="0010206A" w:rsidP="0010206A">
      <w:pPr>
        <w:widowControl/>
        <w:shd w:val="clear" w:color="auto" w:fill="FFFFFF"/>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w:t>
      </w:r>
      <w:r w:rsidRPr="0010206A">
        <w:rPr>
          <w:rFonts w:ascii="宋体" w:eastAsia="宋体" w:hAnsi="宋体" w:cs="宋体" w:hint="eastAsia"/>
          <w:b/>
          <w:bCs/>
          <w:color w:val="333333"/>
          <w:kern w:val="0"/>
          <w:sz w:val="28"/>
          <w:szCs w:val="28"/>
        </w:rPr>
        <w:t xml:space="preserve">第二条  </w:t>
      </w:r>
      <w:proofErr w:type="gramStart"/>
      <w:r w:rsidRPr="0010206A">
        <w:rPr>
          <w:rFonts w:ascii="宋体" w:eastAsia="宋体" w:hAnsi="宋体" w:cs="宋体" w:hint="eastAsia"/>
          <w:b/>
          <w:bCs/>
          <w:color w:val="333333"/>
          <w:kern w:val="0"/>
          <w:sz w:val="28"/>
          <w:szCs w:val="28"/>
        </w:rPr>
        <w:t>规</w:t>
      </w:r>
      <w:proofErr w:type="gramEnd"/>
      <w:r w:rsidRPr="0010206A">
        <w:rPr>
          <w:rFonts w:ascii="宋体" w:eastAsia="宋体" w:hAnsi="宋体" w:cs="宋体" w:hint="eastAsia"/>
          <w:b/>
          <w:bCs/>
          <w:color w:val="333333"/>
          <w:kern w:val="0"/>
          <w:sz w:val="28"/>
          <w:szCs w:val="28"/>
        </w:rPr>
        <w:t>费</w:t>
      </w:r>
      <w:r w:rsidRPr="0010206A">
        <w:rPr>
          <w:rFonts w:ascii="宋体" w:eastAsia="宋体" w:hAnsi="宋体" w:cs="宋体" w:hint="eastAsia"/>
          <w:color w:val="333333"/>
          <w:kern w:val="0"/>
          <w:sz w:val="28"/>
          <w:szCs w:val="28"/>
        </w:rPr>
        <w:t> </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1、省以上行政事业性收费按规定收费标准的下限执行；市及市以下实行“零收费”；</w:t>
      </w:r>
      <w:proofErr w:type="gramStart"/>
      <w:r w:rsidRPr="0010206A">
        <w:rPr>
          <w:rFonts w:ascii="宋体" w:eastAsia="宋体" w:hAnsi="宋体" w:cs="宋体" w:hint="eastAsia"/>
          <w:color w:val="333333"/>
          <w:kern w:val="0"/>
          <w:sz w:val="28"/>
          <w:szCs w:val="28"/>
        </w:rPr>
        <w:t>带成本</w:t>
      </w:r>
      <w:proofErr w:type="gramEnd"/>
      <w:r w:rsidRPr="0010206A">
        <w:rPr>
          <w:rFonts w:ascii="宋体" w:eastAsia="宋体" w:hAnsi="宋体" w:cs="宋体" w:hint="eastAsia"/>
          <w:color w:val="333333"/>
          <w:kern w:val="0"/>
          <w:sz w:val="28"/>
          <w:szCs w:val="28"/>
        </w:rPr>
        <w:t>的服务性收费按收费标准下限的50%收取，不带成本的服务性收费按收费标准下限的20%收取。</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2、严格执行《兴国县招商引资企业收费明白卡》设定的收费项目和标准，不准另设名目和提高标准收费。</w:t>
      </w:r>
    </w:p>
    <w:p w:rsidR="0010206A" w:rsidRPr="0010206A" w:rsidRDefault="0010206A" w:rsidP="0010206A">
      <w:pPr>
        <w:widowControl/>
        <w:shd w:val="clear" w:color="auto" w:fill="FFFFFF"/>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w:t>
      </w:r>
      <w:r w:rsidRPr="0010206A">
        <w:rPr>
          <w:rFonts w:ascii="宋体" w:eastAsia="宋体" w:hAnsi="宋体" w:cs="宋体" w:hint="eastAsia"/>
          <w:b/>
          <w:bCs/>
          <w:color w:val="333333"/>
          <w:kern w:val="0"/>
          <w:sz w:val="28"/>
          <w:szCs w:val="28"/>
        </w:rPr>
        <w:t>第三条  财税扶持政策</w:t>
      </w:r>
      <w:r w:rsidRPr="0010206A">
        <w:rPr>
          <w:rFonts w:ascii="宋体" w:eastAsia="宋体" w:hAnsi="宋体" w:cs="宋体" w:hint="eastAsia"/>
          <w:color w:val="333333"/>
          <w:kern w:val="0"/>
          <w:sz w:val="28"/>
          <w:szCs w:val="28"/>
        </w:rPr>
        <w:t> </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1、对固定资产投资达到500万元人民币，年纳税50万元（利用本县资源初加工企业除外）以上的企业，自企业纳税达到标准年度起，其缴纳的增值税和企业所得税地方所得部分，三年内由受益财政按50%奖励给企业（先征后奖）。</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2、鼓励企业技改和扩大再生产。企业技改或扩大再生产固定资产投入1000万元以上，在企业技改或扩大再生产达产达标后，将企业3年内新增的增值税和企业所得税地方所得部分的20%奖励给企业。</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lastRenderedPageBreak/>
        <w:t xml:space="preserve">　　3、对出口型企业创立自主品牌、开拓国内市场的，从品牌产品上市年度起，3年内新增税收（扣除新增税收中出口部分的税收）的地方所得部分，县财政按50%的比例奖励给企业。积极为外贸出口企业争取上级资金扶持，具体奖励标准按省、市有关文件执行。</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4、设立技术创新专项资金，对当年获得省级认定的高新技术产品企业，由县财政一次性奖励5万元；对当年获得国家认定的高新技术产品企业，由县财政一次性奖励20万元。</w:t>
      </w:r>
    </w:p>
    <w:p w:rsidR="0010206A" w:rsidRPr="0010206A" w:rsidRDefault="0010206A" w:rsidP="0010206A">
      <w:pPr>
        <w:widowControl/>
        <w:shd w:val="clear" w:color="auto" w:fill="FFFFFF"/>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w:t>
      </w:r>
      <w:r w:rsidRPr="0010206A">
        <w:rPr>
          <w:rFonts w:ascii="宋体" w:eastAsia="宋体" w:hAnsi="宋体" w:cs="宋体" w:hint="eastAsia"/>
          <w:b/>
          <w:bCs/>
          <w:color w:val="333333"/>
          <w:kern w:val="0"/>
          <w:sz w:val="28"/>
          <w:szCs w:val="28"/>
        </w:rPr>
        <w:t>第四条  用水</w:t>
      </w:r>
      <w:r w:rsidRPr="0010206A">
        <w:rPr>
          <w:rFonts w:ascii="宋体" w:eastAsia="宋体" w:hAnsi="宋体" w:cs="宋体" w:hint="eastAsia"/>
          <w:color w:val="333333"/>
          <w:kern w:val="0"/>
          <w:sz w:val="28"/>
          <w:szCs w:val="28"/>
        </w:rPr>
        <w:t> </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1、兴国经济开发区企业生产、生活用水为0.9元/吨；园区外企业生产用水1.7元/吨。企业有污水处理设施的按0.12元/吨、无污水处理设施的按0.8元/吨收取污水处理费。</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2、企业自备水源不收任何费用。</w:t>
      </w:r>
    </w:p>
    <w:p w:rsidR="0010206A" w:rsidRPr="0010206A" w:rsidRDefault="0010206A" w:rsidP="0010206A">
      <w:pPr>
        <w:widowControl/>
        <w:shd w:val="clear" w:color="auto" w:fill="FFFFFF"/>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w:t>
      </w:r>
      <w:r w:rsidRPr="0010206A">
        <w:rPr>
          <w:rFonts w:ascii="宋体" w:eastAsia="宋体" w:hAnsi="宋体" w:cs="宋体" w:hint="eastAsia"/>
          <w:b/>
          <w:bCs/>
          <w:color w:val="333333"/>
          <w:kern w:val="0"/>
          <w:sz w:val="28"/>
          <w:szCs w:val="28"/>
        </w:rPr>
        <w:t>第五条  用电</w:t>
      </w:r>
      <w:r w:rsidRPr="0010206A">
        <w:rPr>
          <w:rFonts w:ascii="宋体" w:eastAsia="宋体" w:hAnsi="宋体" w:cs="宋体" w:hint="eastAsia"/>
          <w:color w:val="333333"/>
          <w:kern w:val="0"/>
          <w:sz w:val="28"/>
          <w:szCs w:val="28"/>
        </w:rPr>
        <w:t> </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执行江西省工业园区企业用电价格，对2011年后新增非高耗能企业，年纳税达到50万元以上（含50万元）的，3年内补贴电费0.1元/度（网前用电除外）。</w:t>
      </w:r>
    </w:p>
    <w:p w:rsidR="0010206A" w:rsidRPr="0010206A" w:rsidRDefault="0010206A" w:rsidP="0010206A">
      <w:pPr>
        <w:widowControl/>
        <w:shd w:val="clear" w:color="auto" w:fill="FFFFFF"/>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w:t>
      </w:r>
    </w:p>
    <w:tbl>
      <w:tblPr>
        <w:tblW w:w="0" w:type="auto"/>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70"/>
        <w:gridCol w:w="995"/>
        <w:gridCol w:w="995"/>
        <w:gridCol w:w="995"/>
        <w:gridCol w:w="715"/>
        <w:gridCol w:w="600"/>
        <w:gridCol w:w="980"/>
        <w:gridCol w:w="1140"/>
      </w:tblGrid>
      <w:tr w:rsidR="0010206A" w:rsidRPr="0010206A" w:rsidTr="0010206A">
        <w:trPr>
          <w:jc w:val="center"/>
        </w:trPr>
        <w:tc>
          <w:tcPr>
            <w:tcW w:w="670" w:type="dxa"/>
            <w:vMerge w:val="restart"/>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用电 </w:t>
            </w:r>
          </w:p>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分类 </w:t>
            </w:r>
          </w:p>
        </w:tc>
        <w:tc>
          <w:tcPr>
            <w:tcW w:w="2990" w:type="dxa"/>
            <w:gridSpan w:val="5"/>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电度价格 </w:t>
            </w:r>
          </w:p>
        </w:tc>
        <w:tc>
          <w:tcPr>
            <w:tcW w:w="2120" w:type="dxa"/>
            <w:gridSpan w:val="2"/>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基本电价 </w:t>
            </w:r>
          </w:p>
        </w:tc>
      </w:tr>
      <w:tr w:rsidR="0010206A" w:rsidRPr="0010206A" w:rsidTr="0010206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kern w:val="0"/>
                <w:sz w:val="28"/>
                <w:szCs w:val="28"/>
              </w:rPr>
            </w:pP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不满 </w:t>
            </w:r>
          </w:p>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1千伏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1-10 </w:t>
            </w:r>
          </w:p>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千伏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35-110 </w:t>
            </w:r>
          </w:p>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千伏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110 </w:t>
            </w:r>
          </w:p>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千伏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220千伏 </w:t>
            </w:r>
          </w:p>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以上 </w:t>
            </w:r>
          </w:p>
        </w:tc>
        <w:tc>
          <w:tcPr>
            <w:tcW w:w="98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最大需要 </w:t>
            </w:r>
          </w:p>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(元/</w:t>
            </w:r>
            <w:proofErr w:type="gramStart"/>
            <w:r w:rsidRPr="0010206A">
              <w:rPr>
                <w:rFonts w:ascii="宋体" w:eastAsia="宋体" w:hAnsi="宋体" w:cs="宋体" w:hint="eastAsia"/>
                <w:kern w:val="0"/>
                <w:sz w:val="28"/>
                <w:szCs w:val="28"/>
              </w:rPr>
              <w:t>千瓦.</w:t>
            </w:r>
            <w:proofErr w:type="gramEnd"/>
            <w:r w:rsidRPr="0010206A">
              <w:rPr>
                <w:rFonts w:ascii="宋体" w:eastAsia="宋体" w:hAnsi="宋体" w:cs="宋体" w:hint="eastAsia"/>
                <w:kern w:val="0"/>
                <w:sz w:val="28"/>
                <w:szCs w:val="28"/>
              </w:rPr>
              <w:t>月) </w:t>
            </w:r>
          </w:p>
        </w:tc>
        <w:tc>
          <w:tcPr>
            <w:tcW w:w="113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变压器容量 </w:t>
            </w:r>
          </w:p>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(元/</w:t>
            </w:r>
            <w:proofErr w:type="gramStart"/>
            <w:r w:rsidRPr="0010206A">
              <w:rPr>
                <w:rFonts w:ascii="宋体" w:eastAsia="宋体" w:hAnsi="宋体" w:cs="宋体" w:hint="eastAsia"/>
                <w:kern w:val="0"/>
                <w:sz w:val="28"/>
                <w:szCs w:val="28"/>
              </w:rPr>
              <w:t>千伏安</w:t>
            </w:r>
            <w:proofErr w:type="gramEnd"/>
            <w:r w:rsidRPr="0010206A">
              <w:rPr>
                <w:rFonts w:ascii="宋体" w:eastAsia="宋体" w:hAnsi="宋体" w:cs="宋体" w:hint="eastAsia"/>
                <w:kern w:val="0"/>
                <w:sz w:val="28"/>
                <w:szCs w:val="28"/>
              </w:rPr>
              <w:t>.月) </w:t>
            </w:r>
          </w:p>
        </w:tc>
      </w:tr>
      <w:tr w:rsidR="0010206A" w:rsidRPr="0010206A" w:rsidTr="0010206A">
        <w:trPr>
          <w:jc w:val="center"/>
        </w:trPr>
        <w:tc>
          <w:tcPr>
            <w:tcW w:w="67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lastRenderedPageBreak/>
              <w:t>生活用电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0.6 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0.6 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0.6 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  </w:t>
            </w:r>
          </w:p>
        </w:tc>
        <w:tc>
          <w:tcPr>
            <w:tcW w:w="98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  </w:t>
            </w:r>
          </w:p>
        </w:tc>
        <w:tc>
          <w:tcPr>
            <w:tcW w:w="113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  </w:t>
            </w:r>
          </w:p>
        </w:tc>
      </w:tr>
      <w:tr w:rsidR="0010206A" w:rsidRPr="0010206A" w:rsidTr="0010206A">
        <w:trPr>
          <w:jc w:val="center"/>
        </w:trPr>
        <w:tc>
          <w:tcPr>
            <w:tcW w:w="67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普通工业 </w:t>
            </w:r>
          </w:p>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用电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0.778 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0.763 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0.748 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  </w:t>
            </w:r>
          </w:p>
        </w:tc>
        <w:tc>
          <w:tcPr>
            <w:tcW w:w="98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  </w:t>
            </w:r>
          </w:p>
        </w:tc>
        <w:tc>
          <w:tcPr>
            <w:tcW w:w="113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  </w:t>
            </w:r>
          </w:p>
        </w:tc>
      </w:tr>
      <w:tr w:rsidR="0010206A" w:rsidRPr="0010206A" w:rsidTr="0010206A">
        <w:trPr>
          <w:jc w:val="center"/>
        </w:trPr>
        <w:tc>
          <w:tcPr>
            <w:tcW w:w="67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大工业 </w:t>
            </w:r>
          </w:p>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用电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0.637 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0.622 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  </w:t>
            </w:r>
          </w:p>
        </w:tc>
        <w:tc>
          <w:tcPr>
            <w:tcW w:w="98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42 </w:t>
            </w:r>
          </w:p>
        </w:tc>
        <w:tc>
          <w:tcPr>
            <w:tcW w:w="1130" w:type="dxa"/>
            <w:tcBorders>
              <w:top w:val="outset" w:sz="6" w:space="0" w:color="000000"/>
              <w:left w:val="outset" w:sz="6" w:space="0" w:color="000000"/>
              <w:bottom w:val="outset" w:sz="6" w:space="0" w:color="000000"/>
              <w:right w:val="outset" w:sz="6" w:space="0" w:color="000000"/>
            </w:tcBorders>
            <w:vAlign w:val="center"/>
            <w:hideMark/>
          </w:tcPr>
          <w:p w:rsidR="0010206A" w:rsidRPr="0010206A" w:rsidRDefault="0010206A" w:rsidP="0010206A">
            <w:pPr>
              <w:widowControl/>
              <w:jc w:val="left"/>
              <w:rPr>
                <w:rFonts w:ascii="宋体" w:eastAsia="宋体" w:hAnsi="宋体" w:cs="宋体" w:hint="eastAsia"/>
                <w:kern w:val="0"/>
                <w:sz w:val="28"/>
                <w:szCs w:val="28"/>
              </w:rPr>
            </w:pPr>
            <w:r w:rsidRPr="0010206A">
              <w:rPr>
                <w:rFonts w:ascii="宋体" w:eastAsia="宋体" w:hAnsi="宋体" w:cs="宋体" w:hint="eastAsia"/>
                <w:kern w:val="0"/>
                <w:sz w:val="28"/>
                <w:szCs w:val="28"/>
              </w:rPr>
              <w:t>28 </w:t>
            </w:r>
          </w:p>
        </w:tc>
      </w:tr>
    </w:tbl>
    <w:p w:rsidR="0010206A" w:rsidRPr="0010206A" w:rsidRDefault="0010206A" w:rsidP="0010206A">
      <w:pPr>
        <w:widowControl/>
        <w:shd w:val="clear" w:color="auto" w:fill="FFFFFF"/>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w:t>
      </w:r>
      <w:r w:rsidRPr="0010206A">
        <w:rPr>
          <w:rFonts w:ascii="宋体" w:eastAsia="宋体" w:hAnsi="宋体" w:cs="宋体" w:hint="eastAsia"/>
          <w:b/>
          <w:bCs/>
          <w:color w:val="333333"/>
          <w:kern w:val="0"/>
          <w:sz w:val="28"/>
          <w:szCs w:val="28"/>
        </w:rPr>
        <w:t> 第六条  土地</w:t>
      </w:r>
      <w:r w:rsidRPr="0010206A">
        <w:rPr>
          <w:rFonts w:ascii="宋体" w:eastAsia="宋体" w:hAnsi="宋体" w:cs="宋体" w:hint="eastAsia"/>
          <w:color w:val="333333"/>
          <w:kern w:val="0"/>
          <w:sz w:val="28"/>
          <w:szCs w:val="28"/>
        </w:rPr>
        <w:t> </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1、工业用地土地出让价格执行挂牌不低于5.6万元/亩（如国家用地政策调整，则按调整后价格执行）。对自行平整土地的企业，由县财政给予1万元/亩的补助。</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lastRenderedPageBreak/>
        <w:t xml:space="preserve">　　2、积极争取省级重大项目用地计划指标，对投资额度大、市场前景好、符合国家产业政策企业，优先安排用地。实行用地与企业投资强度、投资规模、建设速度、税收相挂钩，企业固定资产投资强度原则上需在80万元/亩以上。</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3、对在兴国经济开发区兴办的有税收的工业企业实行用地奖励。固定资产投资在2000万元以上的，从客商依法取得土地使用权后动工兴建之日起，一年半内按投资合同约定要求建成并验收合格的，县财政按2万元/亩奖励给企业；从企业动工兴建起，三年内再从企业实际缴纳税收地方所得部分中按2.6万元/亩奖励给企业。固定资产投资在5000万元以上的，从客商依法取得土地使用权后动工兴建之日起，二年内按投资合同约定要求建成并验收合格的，县财政按2万元/亩奖励给企业；从企业动工兴建之日起，四年内再从企业实际缴纳税收地方所得部分中按用地面积2.6万元/亩奖励给企业。企业所交税收地方所得不足2.6万元/亩的按地方所得税收实际数奖励。</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4、在新增企业的工业用地范围内，允许7%的工业用地用于建设企业高管和员工生活配套设施，按照工业用地价格供地。</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5、企业未履行投资合同约定，未达到建设进度要求，且闲置土地的，政府将依法征收闲置土地费，并对闲置土地按原出让价收回；企业取得土地使用权后二年内不开工建设的将依法收回土地。任何企业不得私自转让土地。</w:t>
      </w:r>
    </w:p>
    <w:p w:rsidR="0010206A" w:rsidRPr="0010206A" w:rsidRDefault="0010206A" w:rsidP="0010206A">
      <w:pPr>
        <w:widowControl/>
        <w:shd w:val="clear" w:color="auto" w:fill="FFFFFF"/>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lastRenderedPageBreak/>
        <w:t xml:space="preserve">　　</w:t>
      </w:r>
      <w:r w:rsidRPr="0010206A">
        <w:rPr>
          <w:rFonts w:ascii="宋体" w:eastAsia="宋体" w:hAnsi="宋体" w:cs="宋体" w:hint="eastAsia"/>
          <w:b/>
          <w:bCs/>
          <w:color w:val="333333"/>
          <w:kern w:val="0"/>
          <w:sz w:val="28"/>
          <w:szCs w:val="28"/>
        </w:rPr>
        <w:t>第七条  务工环境</w:t>
      </w:r>
      <w:r w:rsidRPr="0010206A">
        <w:rPr>
          <w:rFonts w:ascii="宋体" w:eastAsia="宋体" w:hAnsi="宋体" w:cs="宋体" w:hint="eastAsia"/>
          <w:color w:val="333333"/>
          <w:kern w:val="0"/>
          <w:sz w:val="28"/>
          <w:szCs w:val="28"/>
        </w:rPr>
        <w:t> </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1、政府协助企业做好招工服务。给乡镇及县直单位下达招工任务，重点企业可免费在公共场所宣传栏和县电视台发布招工广告。大力开展“订单式”、“校企合作”培训，扎实推广“招工、培训、就业”三位一体的培训模式，向入园的重点企业</w:t>
      </w:r>
      <w:proofErr w:type="gramStart"/>
      <w:r w:rsidRPr="0010206A">
        <w:rPr>
          <w:rFonts w:ascii="宋体" w:eastAsia="宋体" w:hAnsi="宋体" w:cs="宋体" w:hint="eastAsia"/>
          <w:color w:val="333333"/>
          <w:kern w:val="0"/>
          <w:sz w:val="28"/>
          <w:szCs w:val="28"/>
        </w:rPr>
        <w:t>新招员工</w:t>
      </w:r>
      <w:proofErr w:type="gramEnd"/>
      <w:r w:rsidRPr="0010206A">
        <w:rPr>
          <w:rFonts w:ascii="宋体" w:eastAsia="宋体" w:hAnsi="宋体" w:cs="宋体" w:hint="eastAsia"/>
          <w:color w:val="333333"/>
          <w:kern w:val="0"/>
          <w:sz w:val="28"/>
          <w:szCs w:val="28"/>
        </w:rPr>
        <w:t>进行专项培训，并给予培训补贴。</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2、实行养老保险、医疗保险补助。兴国经济开发区企业和园外重点企业年纳税300万元以上，实行财政补助，养老保险、医疗保险分别补助企业缴费额的15%、25%，对连续务工一年以上员工分别补助个人缴费额的30%、20%，补助期限为3年。</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3、鼓励进厂就业。在兴国经济开发区就业的务工人员子女就读就近安排，享受城镇居民子女的同等待遇，不收取政策之外的任何费用。对到我县投资创业的外商和外来投资企业中层以上外籍管理人员、中级以上职称人员，除享受本县居民同等待遇之外，如有需要县开放型经济工作领导小组办公室可出具证明，将其本人及配偶子女户口迁入本县。</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4、帮助解决员工住房。在兴国经济开发区招商引资企业连续务工3年以上并与企业签订了劳动合同、在劳动保障部门备案，年龄23周岁至45周岁在县城无自有住房的已婚人员，可申购政府统一建设的经济适用房或租赁</w:t>
      </w:r>
      <w:proofErr w:type="gramStart"/>
      <w:r w:rsidRPr="0010206A">
        <w:rPr>
          <w:rFonts w:ascii="宋体" w:eastAsia="宋体" w:hAnsi="宋体" w:cs="宋体" w:hint="eastAsia"/>
          <w:color w:val="333333"/>
          <w:kern w:val="0"/>
          <w:sz w:val="28"/>
          <w:szCs w:val="28"/>
        </w:rPr>
        <w:t>廉</w:t>
      </w:r>
      <w:proofErr w:type="gramEnd"/>
      <w:r w:rsidRPr="0010206A">
        <w:rPr>
          <w:rFonts w:ascii="宋体" w:eastAsia="宋体" w:hAnsi="宋体" w:cs="宋体" w:hint="eastAsia"/>
          <w:color w:val="333333"/>
          <w:kern w:val="0"/>
          <w:sz w:val="28"/>
          <w:szCs w:val="28"/>
        </w:rPr>
        <w:t>租房。新增企业高管（含董事长、副董事长、董事、总经理、副总经理、总工程师、总会计师等）按年薪</w:t>
      </w:r>
      <w:r w:rsidRPr="0010206A">
        <w:rPr>
          <w:rFonts w:ascii="宋体" w:eastAsia="宋体" w:hAnsi="宋体" w:cs="宋体" w:hint="eastAsia"/>
          <w:color w:val="333333"/>
          <w:kern w:val="0"/>
          <w:sz w:val="28"/>
          <w:szCs w:val="28"/>
        </w:rPr>
        <w:lastRenderedPageBreak/>
        <w:t>工资纳税的，如其在县城购买个人住房，县财政五年内将</w:t>
      </w:r>
      <w:proofErr w:type="gramStart"/>
      <w:r w:rsidRPr="0010206A">
        <w:rPr>
          <w:rFonts w:ascii="宋体" w:eastAsia="宋体" w:hAnsi="宋体" w:cs="宋体" w:hint="eastAsia"/>
          <w:color w:val="333333"/>
          <w:kern w:val="0"/>
          <w:sz w:val="28"/>
          <w:szCs w:val="28"/>
        </w:rPr>
        <w:t>县所得</w:t>
      </w:r>
      <w:proofErr w:type="gramEnd"/>
      <w:r w:rsidRPr="0010206A">
        <w:rPr>
          <w:rFonts w:ascii="宋体" w:eastAsia="宋体" w:hAnsi="宋体" w:cs="宋体" w:hint="eastAsia"/>
          <w:color w:val="333333"/>
          <w:kern w:val="0"/>
          <w:sz w:val="28"/>
          <w:szCs w:val="28"/>
        </w:rPr>
        <w:t>部分全额奖励其在县城购房。</w:t>
      </w:r>
    </w:p>
    <w:p w:rsidR="0010206A" w:rsidRPr="0010206A" w:rsidRDefault="0010206A" w:rsidP="0010206A">
      <w:pPr>
        <w:widowControl/>
        <w:shd w:val="clear" w:color="auto" w:fill="FFFFFF"/>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w:t>
      </w:r>
      <w:r w:rsidRPr="0010206A">
        <w:rPr>
          <w:rFonts w:ascii="宋体" w:eastAsia="宋体" w:hAnsi="宋体" w:cs="宋体" w:hint="eastAsia"/>
          <w:b/>
          <w:bCs/>
          <w:color w:val="333333"/>
          <w:kern w:val="0"/>
          <w:sz w:val="28"/>
          <w:szCs w:val="28"/>
        </w:rPr>
        <w:t xml:space="preserve">　第八条  金融中介</w:t>
      </w:r>
      <w:r w:rsidRPr="0010206A">
        <w:rPr>
          <w:rFonts w:ascii="宋体" w:eastAsia="宋体" w:hAnsi="宋体" w:cs="宋体" w:hint="eastAsia"/>
          <w:color w:val="333333"/>
          <w:kern w:val="0"/>
          <w:sz w:val="28"/>
          <w:szCs w:val="28"/>
        </w:rPr>
        <w:t> </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1、对自购土地、自建厂房，有市场、有合同订单、有信誉、有效益的企业，金融机构提供流动资金和部分设备购买资金贷款。</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2、发展中介服务。加快环评、安评、图审、会计、信息服务、知识产权、融资担保、资产评估、信用评价、法律服务、就业服务等社会中介服务体系建设，</w:t>
      </w:r>
      <w:proofErr w:type="gramStart"/>
      <w:r w:rsidRPr="0010206A">
        <w:rPr>
          <w:rFonts w:ascii="宋体" w:eastAsia="宋体" w:hAnsi="宋体" w:cs="宋体" w:hint="eastAsia"/>
          <w:color w:val="333333"/>
          <w:kern w:val="0"/>
          <w:sz w:val="28"/>
          <w:szCs w:val="28"/>
        </w:rPr>
        <w:t>县登记</w:t>
      </w:r>
      <w:proofErr w:type="gramEnd"/>
      <w:r w:rsidRPr="0010206A">
        <w:rPr>
          <w:rFonts w:ascii="宋体" w:eastAsia="宋体" w:hAnsi="宋体" w:cs="宋体" w:hint="eastAsia"/>
          <w:color w:val="333333"/>
          <w:kern w:val="0"/>
          <w:sz w:val="28"/>
          <w:szCs w:val="28"/>
        </w:rPr>
        <w:t>管理机关自收到成立登记申请的全部有效文件之日起3日内</w:t>
      </w:r>
      <w:proofErr w:type="gramStart"/>
      <w:r w:rsidRPr="0010206A">
        <w:rPr>
          <w:rFonts w:ascii="宋体" w:eastAsia="宋体" w:hAnsi="宋体" w:cs="宋体" w:hint="eastAsia"/>
          <w:color w:val="333333"/>
          <w:kern w:val="0"/>
          <w:sz w:val="28"/>
          <w:szCs w:val="28"/>
        </w:rPr>
        <w:t>作出</w:t>
      </w:r>
      <w:proofErr w:type="gramEnd"/>
      <w:r w:rsidRPr="0010206A">
        <w:rPr>
          <w:rFonts w:ascii="宋体" w:eastAsia="宋体" w:hAnsi="宋体" w:cs="宋体" w:hint="eastAsia"/>
          <w:color w:val="333333"/>
          <w:kern w:val="0"/>
          <w:sz w:val="28"/>
          <w:szCs w:val="28"/>
        </w:rPr>
        <w:t>登记或者不登记的决定。</w:t>
      </w:r>
    </w:p>
    <w:p w:rsidR="0010206A" w:rsidRPr="0010206A" w:rsidRDefault="0010206A" w:rsidP="0010206A">
      <w:pPr>
        <w:widowControl/>
        <w:shd w:val="clear" w:color="auto" w:fill="FFFFFF"/>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w:t>
      </w:r>
      <w:r w:rsidRPr="0010206A">
        <w:rPr>
          <w:rFonts w:ascii="宋体" w:eastAsia="宋体" w:hAnsi="宋体" w:cs="宋体" w:hint="eastAsia"/>
          <w:b/>
          <w:bCs/>
          <w:color w:val="333333"/>
          <w:kern w:val="0"/>
          <w:sz w:val="28"/>
          <w:szCs w:val="28"/>
        </w:rPr>
        <w:t>第九条  服务环境</w:t>
      </w:r>
      <w:r w:rsidRPr="0010206A">
        <w:rPr>
          <w:rFonts w:ascii="宋体" w:eastAsia="宋体" w:hAnsi="宋体" w:cs="宋体" w:hint="eastAsia"/>
          <w:color w:val="333333"/>
          <w:kern w:val="0"/>
          <w:sz w:val="28"/>
          <w:szCs w:val="28"/>
        </w:rPr>
        <w:t> </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1、实行挂钩联系和代办制度。实行一个项目、一名县级领导挂钩联系、一个单位全程服务制度，帮助企业解决落户、生产、经营、生活中遇到的各种困难和问题。对企业落户、生产、经营过程中需办理的相关证照，由县指定服务单位全程代办制度，做到限时办结。</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2、优化行政审批。严格执行《兴国县招商引资工作规程》和《兴国县招商引资项目服务流程》（兴府发[2011]80号）文件，建立由县开放型经济工作领导小组办公室牵头初审认可的项目开工建设制，所有初审事项在7个工作日以内办结（法律有规定的按最低时限办结）；初审认可后，采取《建设工程规划许可证》、《施工许可证》备案制度，县规划建设局对该工程予以备案，待企业按照</w:t>
      </w:r>
      <w:r w:rsidRPr="0010206A">
        <w:rPr>
          <w:rFonts w:ascii="宋体" w:eastAsia="宋体" w:hAnsi="宋体" w:cs="宋体" w:hint="eastAsia"/>
          <w:color w:val="333333"/>
          <w:kern w:val="0"/>
          <w:sz w:val="28"/>
          <w:szCs w:val="28"/>
        </w:rPr>
        <w:lastRenderedPageBreak/>
        <w:t>相关法律法规的程序补齐所缺材料后，颁发《建设工程规划许可证》副本、《施工许可证》，工程</w:t>
      </w:r>
      <w:proofErr w:type="gramStart"/>
      <w:r w:rsidRPr="0010206A">
        <w:rPr>
          <w:rFonts w:ascii="宋体" w:eastAsia="宋体" w:hAnsi="宋体" w:cs="宋体" w:hint="eastAsia"/>
          <w:color w:val="333333"/>
          <w:kern w:val="0"/>
          <w:sz w:val="28"/>
          <w:szCs w:val="28"/>
        </w:rPr>
        <w:t>峻工</w:t>
      </w:r>
      <w:proofErr w:type="gramEnd"/>
      <w:r w:rsidRPr="0010206A">
        <w:rPr>
          <w:rFonts w:ascii="宋体" w:eastAsia="宋体" w:hAnsi="宋体" w:cs="宋体" w:hint="eastAsia"/>
          <w:color w:val="333333"/>
          <w:kern w:val="0"/>
          <w:sz w:val="28"/>
          <w:szCs w:val="28"/>
        </w:rPr>
        <w:t>验收合格后换发《建设工程规划许可证》正本。</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3、对新增企业，经初步认可的项目，符合有关设立登记规定、需取得而尚未取得前置审批的，可核发筹建营业执照，待取得前置审批许可后，办理企业营业执照变更登记。工商核准登记可实行“换照制”，认可原注册登记的有效性，对企业名称和住所进行变更登记，换发营业执照。</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4、依法保障外商人身、财产安全。外商企业自用车辆一般违章三次以内不扣车、不扣证、不罚款；未经批准不得到外商企业征订报刊杂志和开展捐赠活动；任何单位和个人不准以任何理由干扰、破坏外商企业正常的生产经营秩序，如有问题应提交县招商服务中心协调，不准激化矛盾和私自处理，更不准强迫企业停产、停工或擅自查封财产和</w:t>
      </w:r>
      <w:proofErr w:type="gramStart"/>
      <w:r w:rsidRPr="0010206A">
        <w:rPr>
          <w:rFonts w:ascii="宋体" w:eastAsia="宋体" w:hAnsi="宋体" w:cs="宋体" w:hint="eastAsia"/>
          <w:color w:val="333333"/>
          <w:kern w:val="0"/>
          <w:sz w:val="28"/>
          <w:szCs w:val="28"/>
        </w:rPr>
        <w:t>帐目</w:t>
      </w:r>
      <w:proofErr w:type="gramEnd"/>
      <w:r w:rsidRPr="0010206A">
        <w:rPr>
          <w:rFonts w:ascii="宋体" w:eastAsia="宋体" w:hAnsi="宋体" w:cs="宋体" w:hint="eastAsia"/>
          <w:color w:val="333333"/>
          <w:kern w:val="0"/>
          <w:sz w:val="28"/>
          <w:szCs w:val="28"/>
        </w:rPr>
        <w:t>。</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5、建立警</w:t>
      </w:r>
      <w:proofErr w:type="gramStart"/>
      <w:r w:rsidRPr="0010206A">
        <w:rPr>
          <w:rFonts w:ascii="宋体" w:eastAsia="宋体" w:hAnsi="宋体" w:cs="宋体" w:hint="eastAsia"/>
          <w:color w:val="333333"/>
          <w:kern w:val="0"/>
          <w:sz w:val="28"/>
          <w:szCs w:val="28"/>
        </w:rPr>
        <w:t>企联系</w:t>
      </w:r>
      <w:proofErr w:type="gramEnd"/>
      <w:r w:rsidRPr="0010206A">
        <w:rPr>
          <w:rFonts w:ascii="宋体" w:eastAsia="宋体" w:hAnsi="宋体" w:cs="宋体" w:hint="eastAsia"/>
          <w:color w:val="333333"/>
          <w:kern w:val="0"/>
          <w:sz w:val="28"/>
          <w:szCs w:val="28"/>
        </w:rPr>
        <w:t>制度。县公安局根据各自管辖的片区和业务对口建立结对子服务联系制度，安排警员每天到企业周围巡视，企业出现治安问题，结对警员应在第一时间赶到现场，并帮助协调解决。公、检、法、司等政法部门要为外商企业保驾护航，做到有案必接，有难必帮。</w:t>
      </w:r>
    </w:p>
    <w:p w:rsidR="0010206A" w:rsidRPr="0010206A" w:rsidRDefault="0010206A" w:rsidP="0010206A">
      <w:pPr>
        <w:widowControl/>
        <w:shd w:val="clear" w:color="auto" w:fill="FFFFFF"/>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w:t>
      </w:r>
      <w:r w:rsidRPr="0010206A">
        <w:rPr>
          <w:rFonts w:ascii="宋体" w:eastAsia="宋体" w:hAnsi="宋体" w:cs="宋体" w:hint="eastAsia"/>
          <w:b/>
          <w:bCs/>
          <w:color w:val="333333"/>
          <w:kern w:val="0"/>
          <w:sz w:val="28"/>
          <w:szCs w:val="28"/>
        </w:rPr>
        <w:t xml:space="preserve">第十条  </w:t>
      </w:r>
      <w:proofErr w:type="gramStart"/>
      <w:r w:rsidRPr="0010206A">
        <w:rPr>
          <w:rFonts w:ascii="宋体" w:eastAsia="宋体" w:hAnsi="宋体" w:cs="宋体" w:hint="eastAsia"/>
          <w:b/>
          <w:bCs/>
          <w:color w:val="333333"/>
          <w:kern w:val="0"/>
          <w:sz w:val="28"/>
          <w:szCs w:val="28"/>
        </w:rPr>
        <w:t>财政奖补原则</w:t>
      </w:r>
      <w:proofErr w:type="gramEnd"/>
      <w:r w:rsidRPr="0010206A">
        <w:rPr>
          <w:rFonts w:ascii="宋体" w:eastAsia="宋体" w:hAnsi="宋体" w:cs="宋体" w:hint="eastAsia"/>
          <w:color w:val="333333"/>
          <w:kern w:val="0"/>
          <w:sz w:val="28"/>
          <w:szCs w:val="28"/>
        </w:rPr>
        <w:t> </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lastRenderedPageBreak/>
        <w:t xml:space="preserve">　　优惠政策的兑现以企业兑现合同承诺事项为前提，未全面履行合同的，不予补贴和奖励；补贴和奖励金额与企业缴纳的税收地方所得部分相挂钩。</w:t>
      </w:r>
    </w:p>
    <w:p w:rsidR="0010206A" w:rsidRPr="0010206A" w:rsidRDefault="0010206A" w:rsidP="0010206A">
      <w:pPr>
        <w:widowControl/>
        <w:shd w:val="clear" w:color="auto" w:fill="FFFFFF"/>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w:t>
      </w:r>
      <w:r w:rsidRPr="0010206A">
        <w:rPr>
          <w:rFonts w:ascii="宋体" w:eastAsia="宋体" w:hAnsi="宋体" w:cs="宋体" w:hint="eastAsia"/>
          <w:b/>
          <w:bCs/>
          <w:color w:val="333333"/>
          <w:kern w:val="0"/>
          <w:sz w:val="28"/>
          <w:szCs w:val="28"/>
        </w:rPr>
        <w:t>第十一条  其它</w:t>
      </w:r>
      <w:r w:rsidRPr="0010206A">
        <w:rPr>
          <w:rFonts w:ascii="宋体" w:eastAsia="宋体" w:hAnsi="宋体" w:cs="宋体" w:hint="eastAsia"/>
          <w:color w:val="333333"/>
          <w:kern w:val="0"/>
          <w:sz w:val="28"/>
          <w:szCs w:val="28"/>
        </w:rPr>
        <w:t> </w:t>
      </w:r>
    </w:p>
    <w:p w:rsidR="0010206A" w:rsidRPr="0010206A" w:rsidRDefault="0010206A" w:rsidP="0010206A">
      <w:pPr>
        <w:widowControl/>
        <w:shd w:val="clear" w:color="auto" w:fill="FFFFFF"/>
        <w:spacing w:before="120" w:after="120"/>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世界500强、国内200强企业投资项目或省级以上（含省级）授予的高新技术产业和对县域经济发展有重大促进作用的项目，实行“一事一议”、“一厂</w:t>
      </w:r>
      <w:proofErr w:type="gramStart"/>
      <w:r w:rsidRPr="0010206A">
        <w:rPr>
          <w:rFonts w:ascii="宋体" w:eastAsia="宋体" w:hAnsi="宋体" w:cs="宋体" w:hint="eastAsia"/>
          <w:color w:val="333333"/>
          <w:kern w:val="0"/>
          <w:sz w:val="28"/>
          <w:szCs w:val="28"/>
        </w:rPr>
        <w:t>一</w:t>
      </w:r>
      <w:proofErr w:type="gramEnd"/>
      <w:r w:rsidRPr="0010206A">
        <w:rPr>
          <w:rFonts w:ascii="宋体" w:eastAsia="宋体" w:hAnsi="宋体" w:cs="宋体" w:hint="eastAsia"/>
          <w:color w:val="333333"/>
          <w:kern w:val="0"/>
          <w:sz w:val="28"/>
          <w:szCs w:val="28"/>
        </w:rPr>
        <w:t>策”的办法，由开放型经济工作领导小组讨论决定。</w:t>
      </w:r>
    </w:p>
    <w:p w:rsidR="0010206A" w:rsidRPr="0010206A" w:rsidRDefault="0010206A" w:rsidP="0010206A">
      <w:pPr>
        <w:widowControl/>
        <w:shd w:val="clear" w:color="auto" w:fill="FFFFFF"/>
        <w:jc w:val="left"/>
        <w:rPr>
          <w:rFonts w:ascii="宋体" w:eastAsia="宋体" w:hAnsi="宋体" w:cs="宋体" w:hint="eastAsia"/>
          <w:color w:val="333333"/>
          <w:kern w:val="0"/>
          <w:sz w:val="28"/>
          <w:szCs w:val="28"/>
        </w:rPr>
      </w:pPr>
      <w:r w:rsidRPr="0010206A">
        <w:rPr>
          <w:rFonts w:ascii="宋体" w:eastAsia="宋体" w:hAnsi="宋体" w:cs="宋体" w:hint="eastAsia"/>
          <w:color w:val="333333"/>
          <w:kern w:val="0"/>
          <w:sz w:val="28"/>
          <w:szCs w:val="28"/>
        </w:rPr>
        <w:t xml:space="preserve">　　</w:t>
      </w:r>
      <w:r w:rsidRPr="0010206A">
        <w:rPr>
          <w:rFonts w:ascii="宋体" w:eastAsia="宋体" w:hAnsi="宋体" w:cs="宋体" w:hint="eastAsia"/>
          <w:b/>
          <w:bCs/>
          <w:color w:val="333333"/>
          <w:kern w:val="0"/>
          <w:sz w:val="28"/>
          <w:szCs w:val="28"/>
        </w:rPr>
        <w:t>第十二条</w:t>
      </w:r>
      <w:r w:rsidRPr="0010206A">
        <w:rPr>
          <w:rFonts w:ascii="宋体" w:eastAsia="宋体" w:hAnsi="宋体" w:cs="宋体" w:hint="eastAsia"/>
          <w:color w:val="333333"/>
          <w:kern w:val="0"/>
          <w:sz w:val="28"/>
          <w:szCs w:val="28"/>
        </w:rPr>
        <w:t>  本《优惠政策》自下文之日起执行，已落户企业和政府有投资合同约定的，仍按原约定条款执行。</w:t>
      </w:r>
    </w:p>
    <w:p w:rsidR="00A832A8" w:rsidRPr="0010206A" w:rsidRDefault="00A832A8"/>
    <w:sectPr w:rsidR="00A832A8" w:rsidRPr="001020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6A"/>
    <w:rsid w:val="0010206A"/>
    <w:rsid w:val="00A8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A0318-6006-40CE-8AB4-8A99F768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206A"/>
    <w:rPr>
      <w:color w:val="0000FF"/>
      <w:u w:val="single"/>
    </w:rPr>
  </w:style>
  <w:style w:type="paragraph" w:styleId="a4">
    <w:name w:val="Normal (Web)"/>
    <w:basedOn w:val="a"/>
    <w:uiPriority w:val="99"/>
    <w:semiHidden/>
    <w:unhideWhenUsed/>
    <w:rsid w:val="0010206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020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609095">
      <w:bodyDiv w:val="1"/>
      <w:marLeft w:val="0"/>
      <w:marRight w:val="0"/>
      <w:marTop w:val="0"/>
      <w:marBottom w:val="0"/>
      <w:divBdr>
        <w:top w:val="none" w:sz="0" w:space="0" w:color="auto"/>
        <w:left w:val="none" w:sz="0" w:space="0" w:color="auto"/>
        <w:bottom w:val="none" w:sz="0" w:space="0" w:color="auto"/>
        <w:right w:val="none" w:sz="0" w:space="0" w:color="auto"/>
      </w:divBdr>
      <w:divsChild>
        <w:div w:id="809706507">
          <w:marLeft w:val="0"/>
          <w:marRight w:val="0"/>
          <w:marTop w:val="0"/>
          <w:marBottom w:val="0"/>
          <w:divBdr>
            <w:top w:val="none" w:sz="0" w:space="0" w:color="auto"/>
            <w:left w:val="none" w:sz="0" w:space="0" w:color="auto"/>
            <w:bottom w:val="dashed" w:sz="6" w:space="4" w:color="D1D1D1"/>
            <w:right w:val="none" w:sz="0" w:space="0" w:color="auto"/>
          </w:divBdr>
        </w:div>
        <w:div w:id="419062253">
          <w:marLeft w:val="0"/>
          <w:marRight w:val="0"/>
          <w:marTop w:val="0"/>
          <w:marBottom w:val="0"/>
          <w:divBdr>
            <w:top w:val="none" w:sz="0" w:space="0" w:color="auto"/>
            <w:left w:val="none" w:sz="0" w:space="0" w:color="auto"/>
            <w:bottom w:val="none" w:sz="0" w:space="0" w:color="auto"/>
            <w:right w:val="none" w:sz="0" w:space="0" w:color="auto"/>
          </w:divBdr>
          <w:divsChild>
            <w:div w:id="635991846">
              <w:marLeft w:val="0"/>
              <w:marRight w:val="0"/>
              <w:marTop w:val="0"/>
              <w:marBottom w:val="0"/>
              <w:divBdr>
                <w:top w:val="none" w:sz="0" w:space="0" w:color="auto"/>
                <w:left w:val="none" w:sz="0" w:space="0" w:color="auto"/>
                <w:bottom w:val="none" w:sz="0" w:space="0" w:color="auto"/>
                <w:right w:val="none" w:sz="0" w:space="0" w:color="auto"/>
              </w:divBdr>
              <w:divsChild>
                <w:div w:id="1786345441">
                  <w:marLeft w:val="0"/>
                  <w:marRight w:val="0"/>
                  <w:marTop w:val="0"/>
                  <w:marBottom w:val="0"/>
                  <w:divBdr>
                    <w:top w:val="none" w:sz="0" w:space="0" w:color="auto"/>
                    <w:left w:val="none" w:sz="0" w:space="0" w:color="auto"/>
                    <w:bottom w:val="none" w:sz="0" w:space="0" w:color="auto"/>
                    <w:right w:val="none" w:sz="0" w:space="0" w:color="auto"/>
                  </w:divBdr>
                  <w:divsChild>
                    <w:div w:id="66193272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542</Words>
  <Characters>3094</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2018-05-17T06:53:00Z</dcterms:created>
  <dcterms:modified xsi:type="dcterms:W3CDTF">2018-05-17T06:53:00Z</dcterms:modified>
</cp:coreProperties>
</file>