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91D" w:rsidRPr="00A6491D" w:rsidRDefault="00A6491D" w:rsidP="00A6491D">
      <w:pPr>
        <w:widowControl/>
        <w:shd w:val="clear" w:color="auto" w:fill="FFFFFF"/>
        <w:jc w:val="center"/>
        <w:rPr>
          <w:rFonts w:ascii="微软雅黑" w:eastAsia="微软雅黑" w:hAnsi="微软雅黑" w:cs="宋体"/>
          <w:b/>
          <w:bCs/>
          <w:color w:val="FF0000"/>
          <w:kern w:val="0"/>
          <w:sz w:val="36"/>
          <w:szCs w:val="36"/>
        </w:rPr>
      </w:pPr>
      <w:r w:rsidRPr="00A6491D">
        <w:rPr>
          <w:rFonts w:ascii="微软雅黑" w:eastAsia="微软雅黑" w:hAnsi="微软雅黑" w:cs="宋体" w:hint="eastAsia"/>
          <w:b/>
          <w:bCs/>
          <w:color w:val="FF0000"/>
          <w:kern w:val="0"/>
          <w:sz w:val="36"/>
          <w:szCs w:val="36"/>
        </w:rPr>
        <w:t>关于印发鹤山市加快总部经济发展实施办法（修订）的通知</w:t>
      </w:r>
    </w:p>
    <w:p w:rsidR="00A6491D" w:rsidRPr="00A6491D" w:rsidRDefault="00A6491D" w:rsidP="00A6491D">
      <w:pPr>
        <w:widowControl/>
        <w:shd w:val="clear" w:color="auto" w:fill="FFFFFF"/>
        <w:jc w:val="left"/>
        <w:rPr>
          <w:rFonts w:ascii="微软雅黑" w:eastAsia="微软雅黑" w:hAnsi="微软雅黑" w:cs="宋体" w:hint="eastAsia"/>
          <w:color w:val="000000"/>
          <w:kern w:val="0"/>
          <w:szCs w:val="21"/>
        </w:rPr>
      </w:pPr>
      <w:r w:rsidRPr="00A6491D">
        <w:rPr>
          <w:rFonts w:ascii="微软雅黑" w:eastAsia="微软雅黑" w:hAnsi="微软雅黑" w:cs="宋体" w:hint="eastAsia"/>
          <w:color w:val="CE0000"/>
          <w:kern w:val="0"/>
          <w:szCs w:val="21"/>
        </w:rPr>
        <w:t>详细目录信息</w:t>
      </w:r>
    </w:p>
    <w:tbl>
      <w:tblPr>
        <w:tblW w:w="4900" w:type="pct"/>
        <w:tblCellMar>
          <w:left w:w="0" w:type="dxa"/>
          <w:right w:w="0" w:type="dxa"/>
        </w:tblCellMar>
        <w:tblLook w:val="04A0" w:firstRow="1" w:lastRow="0" w:firstColumn="1" w:lastColumn="0" w:noHBand="0" w:noVBand="1"/>
      </w:tblPr>
      <w:tblGrid>
        <w:gridCol w:w="1219"/>
        <w:gridCol w:w="2843"/>
        <w:gridCol w:w="1219"/>
        <w:gridCol w:w="2843"/>
      </w:tblGrid>
      <w:tr w:rsidR="00A6491D" w:rsidRPr="00A6491D" w:rsidTr="00A6491D">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索引号:</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left"/>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000014349/2017-21926</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公开责任部门</w:t>
            </w:r>
          </w:p>
        </w:tc>
        <w:tc>
          <w:tcPr>
            <w:tcW w:w="1750" w:type="pct"/>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left"/>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鹤山市人民政府办公室</w:t>
            </w:r>
          </w:p>
        </w:tc>
      </w:tr>
      <w:tr w:rsidR="00A6491D" w:rsidRPr="00A6491D" w:rsidTr="00A6491D">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公开日期</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left"/>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2017年02月27日</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主题词</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p>
        </w:tc>
      </w:tr>
      <w:tr w:rsidR="00A6491D" w:rsidRPr="00A6491D" w:rsidTr="00A6491D">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b/>
                <w:bCs/>
                <w:kern w:val="0"/>
                <w:sz w:val="24"/>
                <w:szCs w:val="24"/>
              </w:rPr>
            </w:pPr>
            <w:r w:rsidRPr="00A6491D">
              <w:rPr>
                <w:rFonts w:ascii="微软雅黑" w:eastAsia="微软雅黑" w:hAnsi="微软雅黑" w:cs="宋体" w:hint="eastAsia"/>
                <w:b/>
                <w:bCs/>
                <w:kern w:val="0"/>
                <w:sz w:val="24"/>
                <w:szCs w:val="24"/>
              </w:rPr>
              <w:t>文号</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left"/>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鹤府办〔2017〕6号</w:t>
            </w:r>
          </w:p>
        </w:tc>
        <w:tc>
          <w:tcPr>
            <w:tcW w:w="750" w:type="pct"/>
            <w:tcBorders>
              <w:top w:val="single" w:sz="6" w:space="0" w:color="FFFFFF"/>
              <w:left w:val="single" w:sz="6" w:space="0" w:color="FFFFFF"/>
              <w:bottom w:val="single" w:sz="6" w:space="0" w:color="FFFFFF"/>
              <w:right w:val="single" w:sz="6" w:space="0" w:color="FFFFFF"/>
            </w:tcBorders>
            <w:shd w:val="clear" w:color="auto" w:fill="E8E8E8"/>
            <w:tcMar>
              <w:top w:w="120" w:type="dxa"/>
              <w:left w:w="120" w:type="dxa"/>
              <w:bottom w:w="120" w:type="dxa"/>
              <w:right w:w="120" w:type="dxa"/>
            </w:tcMar>
            <w:vAlign w:val="center"/>
            <w:hideMark/>
          </w:tcPr>
          <w:p w:rsidR="00A6491D" w:rsidRPr="00A6491D" w:rsidRDefault="00A6491D" w:rsidP="00A6491D">
            <w:pPr>
              <w:widowControl/>
              <w:jc w:val="center"/>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分类</w:t>
            </w:r>
          </w:p>
        </w:tc>
        <w:tc>
          <w:tcPr>
            <w:tcW w:w="0" w:type="auto"/>
            <w:tcBorders>
              <w:top w:val="single" w:sz="6" w:space="0" w:color="FFFFFF"/>
              <w:left w:val="single" w:sz="6" w:space="0" w:color="FFFFFF"/>
              <w:bottom w:val="single" w:sz="6" w:space="0" w:color="FFFFFF"/>
              <w:right w:val="single" w:sz="6" w:space="0" w:color="FFFFFF"/>
            </w:tcBorders>
            <w:shd w:val="clear" w:color="auto" w:fill="F5F5F5"/>
            <w:tcMar>
              <w:top w:w="120" w:type="dxa"/>
              <w:left w:w="120" w:type="dxa"/>
              <w:bottom w:w="120" w:type="dxa"/>
              <w:right w:w="120" w:type="dxa"/>
            </w:tcMar>
            <w:vAlign w:val="center"/>
            <w:hideMark/>
          </w:tcPr>
          <w:p w:rsidR="00A6491D" w:rsidRPr="00A6491D" w:rsidRDefault="00A6491D" w:rsidP="00A6491D">
            <w:pPr>
              <w:widowControl/>
              <w:jc w:val="left"/>
              <w:rPr>
                <w:rFonts w:ascii="微软雅黑" w:eastAsia="微软雅黑" w:hAnsi="微软雅黑" w:cs="宋体" w:hint="eastAsia"/>
                <w:b/>
                <w:bCs/>
                <w:kern w:val="0"/>
                <w:sz w:val="24"/>
                <w:szCs w:val="24"/>
              </w:rPr>
            </w:pPr>
            <w:r w:rsidRPr="00A6491D">
              <w:rPr>
                <w:rFonts w:ascii="微软雅黑" w:eastAsia="微软雅黑" w:hAnsi="微软雅黑" w:cs="宋体" w:hint="eastAsia"/>
                <w:b/>
                <w:bCs/>
                <w:kern w:val="0"/>
                <w:sz w:val="24"/>
                <w:szCs w:val="24"/>
              </w:rPr>
              <w:t>规范性文件</w:t>
            </w:r>
          </w:p>
        </w:tc>
      </w:tr>
    </w:tbl>
    <w:p w:rsidR="00A6491D" w:rsidRPr="00A6491D" w:rsidRDefault="00A6491D" w:rsidP="00A6491D">
      <w:pPr>
        <w:widowControl/>
        <w:shd w:val="clear" w:color="auto" w:fill="FFFFFF"/>
        <w:spacing w:line="58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各镇政府、沙坪街道办，市有关单位：</w:t>
      </w:r>
    </w:p>
    <w:p w:rsidR="00A6491D" w:rsidRPr="00A6491D" w:rsidRDefault="00A6491D" w:rsidP="00A6491D">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《鹤山市加快总部经济发展实施办法（修订）》已经市政府十五届2次常务会议审议通过，现印发给你们，请认真组织实施。执行过程中遇到的问题，请径向市科工商务局反映。</w:t>
      </w:r>
    </w:p>
    <w:p w:rsidR="00A6491D" w:rsidRPr="00A6491D" w:rsidRDefault="00A6491D" w:rsidP="00A6491D">
      <w:pPr>
        <w:widowControl/>
        <w:shd w:val="clear" w:color="auto" w:fill="FFFFFF"/>
        <w:spacing w:before="150" w:line="62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62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80" w:lineRule="atLeast"/>
        <w:ind w:firstLine="480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鹤山市人民政府办公室</w:t>
      </w:r>
    </w:p>
    <w:p w:rsidR="00A6491D" w:rsidRPr="00A6491D" w:rsidRDefault="00A6491D" w:rsidP="00A6491D">
      <w:pPr>
        <w:widowControl/>
        <w:shd w:val="clear" w:color="auto" w:fill="FFFFFF"/>
        <w:spacing w:before="150" w:line="580" w:lineRule="atLeast"/>
        <w:ind w:firstLine="512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2017年2月15日</w:t>
      </w:r>
    </w:p>
    <w:p w:rsidR="00A6491D" w:rsidRPr="00A6491D" w:rsidRDefault="00A6491D" w:rsidP="00A6491D">
      <w:pPr>
        <w:widowControl/>
        <w:shd w:val="clear" w:color="auto" w:fill="FFFFFF"/>
        <w:spacing w:before="150" w:line="58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8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4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鹤山市加快总部经济发展实施办法（修订）</w:t>
      </w:r>
    </w:p>
    <w:p w:rsidR="00A6491D" w:rsidRPr="00A6491D" w:rsidRDefault="00A6491D" w:rsidP="00A6491D">
      <w:pPr>
        <w:widowControl/>
        <w:shd w:val="clear" w:color="auto" w:fill="FFFFFF"/>
        <w:spacing w:before="150" w:line="40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4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第一章  总  则</w:t>
      </w:r>
    </w:p>
    <w:p w:rsidR="00A6491D" w:rsidRPr="00A6491D" w:rsidRDefault="00A6491D" w:rsidP="00A6491D">
      <w:pPr>
        <w:widowControl/>
        <w:shd w:val="clear" w:color="auto" w:fill="FFFFFF"/>
        <w:spacing w:before="100" w:beforeAutospacing="1" w:after="100" w:afterAutospacing="1" w:line="380" w:lineRule="atLeast"/>
        <w:ind w:left="1344"/>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4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第一条  为促进我市总部经济的发展，鼓励我市大中型企业加快建设总部型企业，鼓励市外大中型企业将总部迁入我市，根据《印发江门市加快总部经济发展实施办法的通知》（江府办〔2011〕95号）的有关规定，结合我市实际，制定本办法。</w:t>
      </w:r>
    </w:p>
    <w:p w:rsidR="00A6491D" w:rsidRPr="00A6491D" w:rsidRDefault="00A6491D" w:rsidP="00A6491D">
      <w:pPr>
        <w:widowControl/>
        <w:shd w:val="clear" w:color="auto" w:fill="FFFFFF"/>
        <w:spacing w:before="150" w:line="54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第二条  本办法所称的总部企业是指在鹤山市注册并依法开展经营活动，对一定区域内的分支机构或控股企业行使投资、管理和服务职能的法人企业。</w:t>
      </w:r>
    </w:p>
    <w:p w:rsidR="00A6491D" w:rsidRPr="00A6491D" w:rsidRDefault="00A6491D" w:rsidP="00A6491D">
      <w:pPr>
        <w:widowControl/>
        <w:shd w:val="clear" w:color="auto" w:fill="FFFFFF"/>
        <w:spacing w:before="150" w:line="54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第三条  对总部企业的扶持是指对已获认定的鹤山市内总部企业实施的资助，扶持资金由总部企业所在镇（街）与市财政按税收分成比例分担。</w:t>
      </w:r>
    </w:p>
    <w:p w:rsidR="00A6491D" w:rsidRPr="00A6491D" w:rsidRDefault="00A6491D" w:rsidP="00A6491D">
      <w:pPr>
        <w:widowControl/>
        <w:shd w:val="clear" w:color="auto" w:fill="FFFFFF"/>
        <w:spacing w:before="150" w:line="54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第四条  我市本级成立发展总部经济领导小组，由分管市领导任组长，成员单位包括市发展改革局、市科工商务局、市财政局、市国土资源局、市市场监管局、市国税局、市地税局等相关职能部门和各镇政府、沙坪街道办，负责总部企业认定的具体工作以及政策扶持等管理和协调工作，研究解决总部企业经济发展中遇到的困难和问题。领导小组办公室设在市科工商务局。各镇（街）相应成立发展总部经济领导小组。</w:t>
      </w:r>
    </w:p>
    <w:p w:rsidR="00A6491D" w:rsidRPr="00A6491D" w:rsidRDefault="00A6491D" w:rsidP="00A6491D">
      <w:pPr>
        <w:widowControl/>
        <w:shd w:val="clear" w:color="auto" w:fill="FFFFFF"/>
        <w:spacing w:before="150" w:line="40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4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第二章  总部企业的认定</w:t>
      </w:r>
    </w:p>
    <w:p w:rsidR="00A6491D" w:rsidRPr="00A6491D" w:rsidRDefault="00A6491D" w:rsidP="00A6491D">
      <w:pPr>
        <w:widowControl/>
        <w:shd w:val="clear" w:color="auto" w:fill="FFFFFF"/>
        <w:spacing w:before="150" w:line="38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第五条  符合下列所有条件的企业，可申请总部企业认定：</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（一）在鹤山市办理工商注册和税务登记，实行统一核算，并在鹤山市汇总缴纳企业所得税。</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（二）符合国家和省的产业政策，不属于国家和省产业导向目录中淘汰类和限制类企业。</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（三）诚信经营、依法纳税，无欠税等不良记录。</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（四）设有下属机构不少于2家，且其中不少于1家为市外企业，其市外下属机构的营业收入占总营业收入的比例不少于30%。</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（五）承诺5年内注册地址不从本市迁出，不改变在本市的纳税义务。</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（六）注册资本或净资产1亿元以上（含1亿元），上年度纳税的市财政地方留成部分（指企业所得税、增值税，并剔除出口退税后计算，下同）总额1000万元以上（含1000万元）。</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第六条  申请总部认定的企业应提交以下材料：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（一）法定代表人签署的《总部企业认定申请表》原件。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（二）本企业营业执照、组织机构代码证、税务登记证。</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（三）分支机构名单（附营业执照、税务登记证和隶属关系证明）。</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（四）税务部门出具的本企业上年度的纳税证明，并附企业纳税情况明细表。</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（五）经注册会计师事务所审计的本企业及下属分支机构上年度财务报告、验资报告及注册会计师事务所出具的市外下属机构营业收入占企业总营业收入比例不少于30%的审计报告原件。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（六）本企业基本情况介绍（包括主要业务情况、行业地位描述及获得荣誉情况等），加盖企业公章。</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（七）其他必要的相关证明文件。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第七条  总部企业认定程序如下：</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（一）企业申请：按本办法要求提供申请材料。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（二）初审：各镇（街）经济促进局对企业申请资料进行初审。必要时可向市场监管、税务等部门核实企业相关情况，以及到企业进行现场调查，初审结果报领导小组办公室。</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（三）审核：召开市发展总部经济领导小组成员联席会议对领导小组办公室提交的前期评审资料和初审意见进行审核，形成审核意见报送市政府审议核准。</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第八条  总部企业的认定工作在每年的3月、9月集中进行。</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第三章  政策扶持</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第九条  实施积极的土地支持政策。将总部企业用地计划优先纳入年度土地供应计划，满足经认定的总部企业的用地需求。</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第十条  地方奖励扶持措施。</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从认定总部企业当年起5年内，按照对财政贡献增量的一定比例给予资金奖补，具体分为：</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对新获认定的总部企业，按认定当年度财政贡献增量的50%给予奖补。即：新获认定第一年，该企业奖补金额=该企业当年度财政贡献增量鹤山分成部分（参考企业当年实际缴纳入库的企业所得税额和增值税额鹤山分成增量部分基数，下同）</w:t>
      </w:r>
      <w:r w:rsidRPr="00A6491D">
        <w:rPr>
          <w:rFonts w:ascii="Malgun Gothic" w:eastAsia="Malgun Gothic" w:hAnsi="Malgun Gothic" w:cs="Malgun Gothic" w:hint="eastAsia"/>
          <w:color w:val="333333"/>
          <w:kern w:val="0"/>
          <w:sz w:val="27"/>
          <w:szCs w:val="27"/>
        </w:rPr>
        <w:t>�</w:t>
      </w:r>
      <w:r w:rsidRPr="00A6491D">
        <w:rPr>
          <w:rFonts w:ascii="微软雅黑" w:eastAsia="微软雅黑" w:hAnsi="微软雅黑" w:cs="宋体" w:hint="eastAsia"/>
          <w:color w:val="333333"/>
          <w:kern w:val="0"/>
          <w:sz w:val="27"/>
          <w:szCs w:val="27"/>
        </w:rPr>
        <w:t>50%。</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（二）已获认定次年开始，总部企业的财政贡献量比上年度增长的，则当年度按增量鹤山分成部分的30%给予奖补。即：企业奖补金额=该企业当年度财政贡献增量鹤山分成部分</w:t>
      </w:r>
      <w:r w:rsidRPr="00A6491D">
        <w:rPr>
          <w:rFonts w:ascii="Malgun Gothic" w:eastAsia="Malgun Gothic" w:hAnsi="Malgun Gothic" w:cs="Malgun Gothic" w:hint="eastAsia"/>
          <w:color w:val="333333"/>
          <w:kern w:val="0"/>
          <w:sz w:val="27"/>
          <w:szCs w:val="27"/>
        </w:rPr>
        <w:t>�</w:t>
      </w:r>
      <w:r w:rsidRPr="00A6491D">
        <w:rPr>
          <w:rFonts w:ascii="微软雅黑" w:eastAsia="微软雅黑" w:hAnsi="微软雅黑" w:cs="宋体" w:hint="eastAsia"/>
          <w:color w:val="333333"/>
          <w:kern w:val="0"/>
          <w:sz w:val="27"/>
          <w:szCs w:val="27"/>
        </w:rPr>
        <w:t>30%。</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（三）对被认定为中国500强、总部在鹤山地区的企业，从获认定当年起，每年按企业财政贡献增量鹤山分成部分的50%给予奖励。即：企业奖补金额=该企业当年度财政贡献增量鹤山分成部分</w:t>
      </w:r>
      <w:r w:rsidRPr="00A6491D">
        <w:rPr>
          <w:rFonts w:ascii="Malgun Gothic" w:eastAsia="Malgun Gothic" w:hAnsi="Malgun Gothic" w:cs="Malgun Gothic" w:hint="eastAsia"/>
          <w:color w:val="333333"/>
          <w:kern w:val="0"/>
          <w:sz w:val="27"/>
          <w:szCs w:val="27"/>
        </w:rPr>
        <w:t>�</w:t>
      </w:r>
      <w:r w:rsidRPr="00A6491D">
        <w:rPr>
          <w:rFonts w:ascii="微软雅黑" w:eastAsia="微软雅黑" w:hAnsi="微软雅黑" w:cs="宋体" w:hint="eastAsia"/>
          <w:color w:val="333333"/>
          <w:kern w:val="0"/>
          <w:sz w:val="27"/>
          <w:szCs w:val="27"/>
        </w:rPr>
        <w:t>50%。</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第十一条  奖励总部企业的高管人员。</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在认定为总部企业的当年，该企业年薪100万元以上（含100万元）的高管人员，按其个人财政贡献量（参考实际缴纳的个人所得税）鹤山分成部分的50%给予奖励。</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第十二条  申请地方奖励须提供以下基本资料：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（一）企业法人签署的当年度企业地方贡献扶持《发展总部经济专项资金申请表》原件。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（二）各镇（街）总部企业认定文件。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（三）税务部门提供的本企业纳税证明原件，并附企业据此制作的纳税情况明细表。</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（四）其他必要的证明文件。</w:t>
      </w:r>
    </w:p>
    <w:p w:rsidR="00A6491D" w:rsidRPr="00A6491D" w:rsidRDefault="00A6491D" w:rsidP="00A6491D">
      <w:pPr>
        <w:widowControl/>
        <w:shd w:val="clear" w:color="auto" w:fill="FFFFFF"/>
        <w:spacing w:line="560" w:lineRule="atLeast"/>
        <w:ind w:firstLine="632"/>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spacing w:val="-2"/>
          <w:kern w:val="0"/>
          <w:sz w:val="27"/>
          <w:szCs w:val="27"/>
        </w:rPr>
        <w:t>第十三条  申请总部企业高管人员奖励须提供以下基本资料：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（一）总部企业认定文件，申请奖励的高管人员的纳税证明。</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（二）企业法人签署的高管人员奖励《发展总部经济专项资金申请表》原件。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（三）企业应获奖励的高管人员的名册表原件，并附高管人员身份证明文件和任职证明文件。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（四）其他必要的证明文件。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第十四条  企业所提交的资料需用A4纸按顺序装订成册，并提供电子版（刻录光盘）。除注明提交原件外的其他资料可提供复印件，加盖企业公章，并核验原件。</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第十五条  奖励资金审批程序如下：</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（一）企业申请：按本办法要求提供申请资料。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（二）初审：市科工商务局会同市财政局对企业申请资料进行初审。并可向税务、户籍管理等部门核实企业相关情况，以及到企业进行现场调查。</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（三）审批：召开市发展总部经济领导小组成员联席会议对领导小组办公室提交的前期评审资料和初审意见进行审核，形成审批意见，并将审批结果上报市发展总部经济领导小组。</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（四）执行：各镇（街）根据市发展总部经济领导小组的批复，将奖励资金支付给有关企业和人员，并由市财政年终时与各镇（街）结算。</w:t>
      </w:r>
    </w:p>
    <w:p w:rsidR="00A6491D" w:rsidRPr="00A6491D" w:rsidRDefault="00A6491D" w:rsidP="00A6491D">
      <w:pPr>
        <w:widowControl/>
        <w:shd w:val="clear" w:color="auto" w:fill="FFFFFF"/>
        <w:spacing w:before="150" w:line="56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第四章  管理与监督</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第十六条  领导小组办公室在每年11月对已认定的总部企</w:t>
      </w:r>
      <w:r w:rsidRPr="00A6491D">
        <w:rPr>
          <w:rFonts w:ascii="微软雅黑" w:eastAsia="微软雅黑" w:hAnsi="微软雅黑" w:cs="宋体" w:hint="eastAsia"/>
          <w:color w:val="333333"/>
          <w:spacing w:val="-6"/>
          <w:kern w:val="0"/>
          <w:sz w:val="27"/>
          <w:szCs w:val="27"/>
        </w:rPr>
        <w:t>业进行复核，并将有关复核情况报送市发展总部经济领导小组备案。</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第十七条  对已认定的总部企业，因涉税及其他违法行为受到行政或刑事处罚，或经年度复核不再符合认定条件的，取消其总部企业资格并收回证书，停止享受相关优惠扶持政策。</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第十八条  经认定的总部企业发生更名、重组等重大调整的，应在办理相关手续后10个工作日内将相关情况报送领导小组办公室，领导小组办公室初审提出处理意见后报市发展总部经济领导小组审核，报市政府确认后，进行公告和重新换发认定证书，并更新有关资料。</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第十九条  企业上报的申请材料和内容应真实可靠。提供虚假材料的，经核实后两年内不再具备申请认定总部企业资格，已认定为总部企业的取消其总部企业资格并同时记入企业信用信息档案。</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第二十条  经认定的总部企业发生下列情况之一的，取消其资格：</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（一）以虚假资料申报认定总部企业资格和申请各项资金扶持、奖励的。</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（二）违反本办法第五条第五项规定的。</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（三）其他违反国家法律法规的。</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被取消资格的企业，其享受的有关优惠政策相应终止。各镇（街）视情节轻重，采取停止拨付扶持资金、追偿资金及依法追究法律责任等措施。</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第二十一条  各镇（街）财政需在每年预算中安排发展总部经济专项资金，用于对总部企业的扶持、资助及开展总部企业的认定、统计及其他后续管理工作。</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第二十二条  各镇（街）及有关单位在资金管理工作中要严格遵守财经纪律和廉政建设的有关规定，认真履行职责，自觉接受社会公众和市监察局、审计局的监督检查。</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第五章  附  则</w:t>
      </w:r>
    </w:p>
    <w:p w:rsidR="00A6491D" w:rsidRPr="00A6491D" w:rsidRDefault="00A6491D" w:rsidP="00A6491D">
      <w:pPr>
        <w:widowControl/>
        <w:shd w:val="clear" w:color="auto" w:fill="FFFFFF"/>
        <w:spacing w:before="150" w:line="560" w:lineRule="atLeast"/>
        <w:jc w:val="center"/>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第二十三条  经认定并享受本办法扶持政策的总部企业，不再享受我市其他同类型的优惠扶持政策。</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第二十四条  如遇国家政策调整，或上级、本级政府出台新的政策，则以新政策为准。</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第二十五条  本办法由鹤山市发展总部经济领导小组负责解释。</w:t>
      </w:r>
    </w:p>
    <w:p w:rsidR="00A6491D" w:rsidRPr="00A6491D" w:rsidRDefault="00A6491D" w:rsidP="00A6491D">
      <w:pPr>
        <w:widowControl/>
        <w:shd w:val="clear" w:color="auto" w:fill="FFFFFF"/>
        <w:spacing w:before="150" w:line="560" w:lineRule="atLeast"/>
        <w:ind w:firstLine="640"/>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第二十六条  本办法自2017年2月20日起施行，有效期至2022年1月19日。原《印发鹤山市加快总部经济发展实施办法的通知》（鹤府办〔2012〕50号）自本办法施行之日起废止。</w:t>
      </w:r>
    </w:p>
    <w:p w:rsidR="00A6491D" w:rsidRPr="00A6491D" w:rsidRDefault="00A6491D" w:rsidP="00A6491D">
      <w:pPr>
        <w:widowControl/>
        <w:shd w:val="clear" w:color="auto" w:fill="FFFFFF"/>
        <w:spacing w:before="150" w:line="72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60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line="58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b/>
          <w:bCs/>
          <w:color w:val="333333"/>
          <w:kern w:val="0"/>
          <w:sz w:val="27"/>
          <w:szCs w:val="27"/>
        </w:rPr>
        <w:t>公开方式：</w:t>
      </w:r>
      <w:r w:rsidRPr="00A6491D">
        <w:rPr>
          <w:rFonts w:ascii="微软雅黑" w:eastAsia="微软雅黑" w:hAnsi="微软雅黑" w:cs="宋体" w:hint="eastAsia"/>
          <w:color w:val="333333"/>
          <w:kern w:val="0"/>
          <w:sz w:val="27"/>
          <w:szCs w:val="27"/>
        </w:rPr>
        <w:t>主动公开</w:t>
      </w:r>
    </w:p>
    <w:p w:rsidR="00A6491D" w:rsidRPr="00A6491D" w:rsidRDefault="00A6491D" w:rsidP="00A6491D">
      <w:pPr>
        <w:widowControl/>
        <w:shd w:val="clear" w:color="auto" w:fill="FFFFFF"/>
        <w:spacing w:before="150" w:line="40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40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t> </w:t>
      </w:r>
    </w:p>
    <w:p w:rsidR="00A6491D" w:rsidRPr="00A6491D" w:rsidRDefault="00A6491D" w:rsidP="00A6491D">
      <w:pPr>
        <w:widowControl/>
        <w:shd w:val="clear" w:color="auto" w:fill="FFFFFF"/>
        <w:spacing w:before="150" w:line="480" w:lineRule="atLeast"/>
        <w:jc w:val="left"/>
        <w:rPr>
          <w:rFonts w:ascii="微软雅黑" w:eastAsia="微软雅黑" w:hAnsi="微软雅黑" w:cs="宋体" w:hint="eastAsia"/>
          <w:color w:val="333333"/>
          <w:kern w:val="0"/>
          <w:sz w:val="27"/>
          <w:szCs w:val="27"/>
        </w:rPr>
      </w:pPr>
      <w:r w:rsidRPr="00A6491D">
        <w:rPr>
          <w:rFonts w:ascii="微软雅黑" w:eastAsia="微软雅黑" w:hAnsi="微软雅黑" w:cs="宋体" w:hint="eastAsia"/>
          <w:color w:val="333333"/>
          <w:kern w:val="0"/>
          <w:sz w:val="27"/>
          <w:szCs w:val="27"/>
        </w:rPr>
        <w:lastRenderedPageBreak/>
        <w:t> </w:t>
      </w:r>
    </w:p>
    <w:tbl>
      <w:tblPr>
        <w:tblW w:w="8820" w:type="dxa"/>
        <w:tblInd w:w="10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820"/>
      </w:tblGrid>
      <w:tr w:rsidR="00A6491D" w:rsidRPr="00A6491D" w:rsidTr="00A6491D">
        <w:trPr>
          <w:trHeight w:val="630"/>
        </w:trPr>
        <w:tc>
          <w:tcPr>
            <w:tcW w:w="8820" w:type="dxa"/>
            <w:tcBorders>
              <w:top w:val="single" w:sz="8" w:space="0" w:color="auto"/>
              <w:left w:val="nil"/>
              <w:bottom w:val="single" w:sz="8" w:space="0" w:color="auto"/>
              <w:right w:val="nil"/>
            </w:tcBorders>
            <w:tcMar>
              <w:top w:w="0" w:type="dxa"/>
              <w:left w:w="108" w:type="dxa"/>
              <w:bottom w:w="0" w:type="dxa"/>
              <w:right w:w="108" w:type="dxa"/>
            </w:tcMar>
            <w:hideMark/>
          </w:tcPr>
          <w:p w:rsidR="00A6491D" w:rsidRPr="00A6491D" w:rsidRDefault="00A6491D" w:rsidP="00A6491D">
            <w:pPr>
              <w:widowControl/>
              <w:spacing w:before="150" w:line="580" w:lineRule="atLeast"/>
              <w:ind w:firstLine="218"/>
              <w:jc w:val="center"/>
              <w:rPr>
                <w:rFonts w:ascii="微软雅黑" w:eastAsia="微软雅黑" w:hAnsi="微软雅黑" w:cs="宋体" w:hint="eastAsia"/>
                <w:kern w:val="0"/>
                <w:sz w:val="24"/>
                <w:szCs w:val="24"/>
              </w:rPr>
            </w:pPr>
            <w:r w:rsidRPr="00A6491D">
              <w:rPr>
                <w:rFonts w:ascii="微软雅黑" w:eastAsia="微软雅黑" w:hAnsi="微软雅黑" w:cs="宋体" w:hint="eastAsia"/>
                <w:kern w:val="0"/>
                <w:sz w:val="24"/>
                <w:szCs w:val="24"/>
              </w:rPr>
              <w:t>抄送：市委办公室，市人大常委会办公室，市政协办公室。</w:t>
            </w:r>
          </w:p>
        </w:tc>
      </w:tr>
      <w:tr w:rsidR="00A6491D" w:rsidRPr="00A6491D" w:rsidTr="00A6491D">
        <w:trPr>
          <w:trHeight w:val="570"/>
        </w:trPr>
        <w:tc>
          <w:tcPr>
            <w:tcW w:w="8820" w:type="dxa"/>
            <w:tcBorders>
              <w:top w:val="nil"/>
              <w:left w:val="nil"/>
              <w:bottom w:val="single" w:sz="8" w:space="0" w:color="auto"/>
              <w:right w:val="nil"/>
            </w:tcBorders>
            <w:tcMar>
              <w:top w:w="0" w:type="dxa"/>
              <w:left w:w="108" w:type="dxa"/>
              <w:bottom w:w="0" w:type="dxa"/>
              <w:right w:w="108" w:type="dxa"/>
            </w:tcMar>
            <w:hideMark/>
          </w:tcPr>
          <w:p w:rsidR="00A6491D" w:rsidRPr="00A6491D" w:rsidRDefault="00A6491D" w:rsidP="00A6491D">
            <w:pPr>
              <w:widowControl/>
              <w:spacing w:before="150" w:line="580" w:lineRule="atLeast"/>
              <w:ind w:firstLine="218"/>
              <w:jc w:val="center"/>
              <w:rPr>
                <w:rFonts w:ascii="微软雅黑" w:eastAsia="微软雅黑" w:hAnsi="微软雅黑" w:cs="宋体" w:hint="eastAsia"/>
                <w:kern w:val="0"/>
                <w:sz w:val="24"/>
                <w:szCs w:val="24"/>
              </w:rPr>
            </w:pPr>
            <w:r w:rsidRPr="00A6491D">
              <w:rPr>
                <w:rFonts w:ascii="微软雅黑" w:eastAsia="微软雅黑" w:hAnsi="微软雅黑" w:cs="宋体" w:hint="eastAsia"/>
                <w:kern w:val="0"/>
                <w:sz w:val="24"/>
                <w:szCs w:val="24"/>
              </w:rPr>
              <w:t>鹤山市人民政府办公室秘书股             2017年2月20日印发</w:t>
            </w:r>
          </w:p>
        </w:tc>
      </w:tr>
    </w:tbl>
    <w:p w:rsidR="007814C0" w:rsidRDefault="007814C0">
      <w:bookmarkStart w:id="0" w:name="_GoBack"/>
      <w:bookmarkEnd w:id="0"/>
    </w:p>
    <w:sectPr w:rsidR="007814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29B"/>
    <w:rsid w:val="002C029B"/>
    <w:rsid w:val="007814C0"/>
    <w:rsid w:val="00A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6ABA3-14EB-4C5C-BDA1-A169B7F8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sson">
    <w:name w:val="classon"/>
    <w:basedOn w:val="a0"/>
    <w:rsid w:val="00A6491D"/>
  </w:style>
  <w:style w:type="paragraph" w:styleId="a3">
    <w:name w:val="Normal (Web)"/>
    <w:basedOn w:val="a"/>
    <w:uiPriority w:val="99"/>
    <w:semiHidden/>
    <w:unhideWhenUsed/>
    <w:rsid w:val="00A6491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49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15013">
      <w:bodyDiv w:val="1"/>
      <w:marLeft w:val="0"/>
      <w:marRight w:val="0"/>
      <w:marTop w:val="0"/>
      <w:marBottom w:val="0"/>
      <w:divBdr>
        <w:top w:val="none" w:sz="0" w:space="0" w:color="auto"/>
        <w:left w:val="none" w:sz="0" w:space="0" w:color="auto"/>
        <w:bottom w:val="none" w:sz="0" w:space="0" w:color="auto"/>
        <w:right w:val="none" w:sz="0" w:space="0" w:color="auto"/>
      </w:divBdr>
      <w:divsChild>
        <w:div w:id="1170028021">
          <w:marLeft w:val="0"/>
          <w:marRight w:val="0"/>
          <w:marTop w:val="0"/>
          <w:marBottom w:val="300"/>
          <w:divBdr>
            <w:top w:val="none" w:sz="0" w:space="0" w:color="auto"/>
            <w:left w:val="none" w:sz="0" w:space="0" w:color="auto"/>
            <w:bottom w:val="none" w:sz="0" w:space="0" w:color="auto"/>
            <w:right w:val="none" w:sz="0" w:space="0" w:color="auto"/>
          </w:divBdr>
        </w:div>
        <w:div w:id="1628776258">
          <w:marLeft w:val="0"/>
          <w:marRight w:val="0"/>
          <w:marTop w:val="0"/>
          <w:marBottom w:val="0"/>
          <w:divBdr>
            <w:top w:val="none" w:sz="0" w:space="0" w:color="auto"/>
            <w:left w:val="none" w:sz="0" w:space="0" w:color="auto"/>
            <w:bottom w:val="single" w:sz="6" w:space="0" w:color="CCCCCC"/>
            <w:right w:val="none" w:sz="0" w:space="0" w:color="auto"/>
          </w:divBdr>
          <w:divsChild>
            <w:div w:id="293675995">
              <w:marLeft w:val="0"/>
              <w:marRight w:val="0"/>
              <w:marTop w:val="0"/>
              <w:marBottom w:val="0"/>
              <w:divBdr>
                <w:top w:val="none" w:sz="0" w:space="0" w:color="auto"/>
                <w:left w:val="none" w:sz="0" w:space="0" w:color="auto"/>
                <w:bottom w:val="single" w:sz="6" w:space="0" w:color="CCCCCC"/>
                <w:right w:val="none" w:sz="0" w:space="0" w:color="auto"/>
              </w:divBdr>
            </w:div>
          </w:divsChild>
        </w:div>
        <w:div w:id="1034695279">
          <w:marLeft w:val="0"/>
          <w:marRight w:val="0"/>
          <w:marTop w:val="300"/>
          <w:marBottom w:val="600"/>
          <w:divBdr>
            <w:top w:val="none" w:sz="0" w:space="0" w:color="auto"/>
            <w:left w:val="none" w:sz="0" w:space="0" w:color="auto"/>
            <w:bottom w:val="none" w:sz="0" w:space="0" w:color="auto"/>
            <w:right w:val="none" w:sz="0" w:space="0" w:color="auto"/>
          </w:divBdr>
          <w:divsChild>
            <w:div w:id="4425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544</Words>
  <Characters>3104</Characters>
  <Application>Microsoft Office Word</Application>
  <DocSecurity>0</DocSecurity>
  <Lines>25</Lines>
  <Paragraphs>7</Paragraphs>
  <ScaleCrop>false</ScaleCrop>
  <Company>微软中国</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2018-08-22T02:54:00Z</dcterms:created>
  <dcterms:modified xsi:type="dcterms:W3CDTF">2018-08-22T02:54:00Z</dcterms:modified>
</cp:coreProperties>
</file>