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Mar>
          <w:left w:w="0" w:type="dxa"/>
          <w:right w:w="0" w:type="dxa"/>
        </w:tblCellMar>
        <w:tblLook w:val="04A0" w:firstRow="1" w:lastRow="0" w:firstColumn="1" w:lastColumn="0" w:noHBand="0" w:noVBand="1"/>
      </w:tblPr>
      <w:tblGrid>
        <w:gridCol w:w="7475"/>
      </w:tblGrid>
      <w:tr w:rsidR="005B0310" w:rsidRPr="005B0310">
        <w:trPr>
          <w:trHeight w:val="400"/>
        </w:trPr>
        <w:tc>
          <w:tcPr>
            <w:tcW w:w="0" w:type="auto"/>
            <w:tcMar>
              <w:top w:w="0" w:type="dxa"/>
              <w:left w:w="0" w:type="dxa"/>
              <w:bottom w:w="150" w:type="dxa"/>
              <w:right w:w="0" w:type="dxa"/>
            </w:tcMar>
            <w:vAlign w:val="center"/>
            <w:hideMark/>
          </w:tcPr>
          <w:p w:rsidR="005B0310" w:rsidRPr="005B0310" w:rsidRDefault="005B0310" w:rsidP="005B0310">
            <w:pPr>
              <w:widowControl/>
              <w:jc w:val="center"/>
              <w:rPr>
                <w:rFonts w:ascii="宋体" w:eastAsia="宋体" w:hAnsi="宋体" w:cs="宋体"/>
                <w:b/>
                <w:bCs/>
                <w:kern w:val="0"/>
                <w:sz w:val="32"/>
                <w:szCs w:val="32"/>
              </w:rPr>
            </w:pPr>
            <w:r w:rsidRPr="005B0310">
              <w:rPr>
                <w:rFonts w:ascii="宋体" w:eastAsia="宋体" w:hAnsi="宋体" w:cs="宋体"/>
                <w:b/>
                <w:bCs/>
                <w:kern w:val="0"/>
                <w:sz w:val="32"/>
                <w:szCs w:val="32"/>
              </w:rPr>
              <w:t>市 人 民 政 府 关于加快建筑产业发展的意见</w:t>
            </w:r>
          </w:p>
        </w:tc>
      </w:tr>
    </w:tbl>
    <w:p w:rsidR="005B0310" w:rsidRPr="005B0310" w:rsidRDefault="005B0310" w:rsidP="005B0310">
      <w:pPr>
        <w:widowControl/>
        <w:jc w:val="left"/>
        <w:rPr>
          <w:rFonts w:ascii="宋体" w:eastAsia="宋体" w:hAnsi="宋体" w:cs="宋体"/>
          <w:vanish/>
          <w:kern w:val="0"/>
          <w:sz w:val="24"/>
          <w:szCs w:val="24"/>
        </w:rPr>
      </w:pPr>
    </w:p>
    <w:p w:rsidR="005B0310" w:rsidRPr="005B0310" w:rsidRDefault="005B0310" w:rsidP="005B0310">
      <w:pPr>
        <w:widowControl/>
        <w:jc w:val="left"/>
        <w:rPr>
          <w:rFonts w:ascii="宋体" w:eastAsia="宋体" w:hAnsi="宋体" w:cs="宋体"/>
          <w:vanish/>
          <w:kern w:val="0"/>
          <w:sz w:val="24"/>
          <w:szCs w:val="24"/>
        </w:rPr>
      </w:pPr>
    </w:p>
    <w:tbl>
      <w:tblPr>
        <w:tblW w:w="5000" w:type="pct"/>
        <w:tblCellMar>
          <w:left w:w="0" w:type="dxa"/>
          <w:right w:w="0" w:type="dxa"/>
        </w:tblCellMar>
        <w:tblLook w:val="04A0" w:firstRow="1" w:lastRow="0" w:firstColumn="1" w:lastColumn="0" w:noHBand="0" w:noVBand="1"/>
      </w:tblPr>
      <w:tblGrid>
        <w:gridCol w:w="8306"/>
      </w:tblGrid>
      <w:tr w:rsidR="005B0310" w:rsidRPr="005B0310">
        <w:trPr>
          <w:trHeight w:val="1410"/>
          <w:hidden/>
        </w:trPr>
        <w:tc>
          <w:tcPr>
            <w:tcW w:w="0" w:type="auto"/>
            <w:tcMar>
              <w:top w:w="150" w:type="dxa"/>
              <w:left w:w="225" w:type="dxa"/>
              <w:bottom w:w="300" w:type="dxa"/>
              <w:right w:w="225" w:type="dxa"/>
            </w:tcMar>
            <w:hideMark/>
          </w:tcPr>
          <w:p w:rsidR="005B0310" w:rsidRPr="005B0310" w:rsidRDefault="005B0310" w:rsidP="005B0310">
            <w:pPr>
              <w:widowControl/>
              <w:spacing w:before="100" w:beforeAutospacing="1" w:after="100" w:afterAutospacing="1" w:line="570" w:lineRule="atLeast"/>
              <w:jc w:val="center"/>
              <w:rPr>
                <w:rFonts w:ascii="宋体" w:eastAsia="宋体" w:hAnsi="宋体" w:cs="宋体"/>
                <w:vanish/>
                <w:color w:val="666666"/>
                <w:kern w:val="0"/>
                <w:szCs w:val="21"/>
              </w:rPr>
            </w:pPr>
            <w:r w:rsidRPr="005B0310">
              <w:rPr>
                <w:rFonts w:ascii="宋体" w:eastAsia="宋体" w:hAnsi="宋体" w:cs="宋体"/>
                <w:vanish/>
                <w:color w:val="666666"/>
                <w:kern w:val="0"/>
                <w:szCs w:val="21"/>
              </w:rPr>
              <w:t>加载中,请稍后...</w:t>
            </w:r>
          </w:p>
          <w:p w:rsidR="005B0310" w:rsidRPr="005B0310" w:rsidRDefault="005B0310" w:rsidP="005B0310">
            <w:pPr>
              <w:widowControl/>
              <w:spacing w:before="100" w:beforeAutospacing="1" w:after="100" w:afterAutospacing="1" w:line="600" w:lineRule="atLeast"/>
              <w:jc w:val="left"/>
              <w:textAlignment w:val="baseline"/>
              <w:rPr>
                <w:rFonts w:ascii="宋体" w:eastAsia="宋体" w:hAnsi="宋体" w:cs="宋体"/>
                <w:kern w:val="0"/>
                <w:szCs w:val="21"/>
              </w:rPr>
            </w:pPr>
            <w:r w:rsidRPr="005B0310">
              <w:rPr>
                <w:rFonts w:ascii="宋体" w:eastAsia="宋体" w:hAnsi="宋体" w:cs="宋体"/>
                <w:kern w:val="0"/>
                <w:szCs w:val="21"/>
              </w:rPr>
              <w:t>各镇人民政府，城区各办事处，市政府各部门，开发区管委会：</w:t>
            </w:r>
          </w:p>
          <w:p w:rsidR="00357F6F"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为进一步加快建筑业发展，提高我市建筑业的综合实力和竞争力，促进全市经济社会跨越发展，根据《国务院办公厅关于促进建筑业持续健康发展的意见》（国办发〔2017〕19号）、《省人民政府关于促进建筑业发展的意见》（鄂政发〔2013〕52号）文件精神，现就加快我市建筑产业发展提出以下意见。</w:t>
            </w:r>
            <w:r w:rsidRPr="005B0310">
              <w:rPr>
                <w:rFonts w:ascii="宋体" w:eastAsia="宋体" w:hAnsi="宋体" w:cs="宋体"/>
                <w:kern w:val="0"/>
                <w:szCs w:val="21"/>
              </w:rPr>
              <w:br/>
              <w:t>    一、发展目标</w:t>
            </w:r>
            <w:r w:rsidRPr="005B0310">
              <w:rPr>
                <w:rFonts w:ascii="宋体" w:eastAsia="宋体" w:hAnsi="宋体" w:cs="宋体"/>
                <w:kern w:val="0"/>
                <w:szCs w:val="21"/>
              </w:rPr>
              <w:br/>
              <w:t>    到“十三五”期末，全市建筑业总产值突破50亿元以上，实现税收5亿元以上；建筑施工企业达到30家，其中总承包壹级资质企业3家以上，总承包贰级资质企业10家以上，力争1家以上进入宜昌市建筑“十强企业”；从业人员达到3万人以上，各类专业技术人员达2500人。全市建筑业有突破性发展，产业规模、带动力和经济贡献率明显提升，形成大中小型、综合型和专业型相互依存、协调发展的建筑产业体系，使建筑业成为全市支柱产业之一。</w:t>
            </w:r>
            <w:r w:rsidRPr="005B0310">
              <w:rPr>
                <w:rFonts w:ascii="宋体" w:eastAsia="宋体" w:hAnsi="宋体" w:cs="宋体"/>
                <w:kern w:val="0"/>
                <w:szCs w:val="21"/>
              </w:rPr>
              <w:br/>
              <w:t>    二、激励政策</w:t>
            </w:r>
            <w:r w:rsidRPr="005B0310">
              <w:rPr>
                <w:rFonts w:ascii="宋体" w:eastAsia="宋体" w:hAnsi="宋体" w:cs="宋体"/>
                <w:kern w:val="0"/>
                <w:szCs w:val="21"/>
              </w:rPr>
              <w:br/>
              <w:t>    （一）鼓励支持企业做实做</w:t>
            </w:r>
            <w:proofErr w:type="gramStart"/>
            <w:r w:rsidRPr="005B0310">
              <w:rPr>
                <w:rFonts w:ascii="宋体" w:eastAsia="宋体" w:hAnsi="宋体" w:cs="宋体"/>
                <w:kern w:val="0"/>
                <w:szCs w:val="21"/>
              </w:rPr>
              <w:t>强做</w:t>
            </w:r>
            <w:proofErr w:type="gramEnd"/>
            <w:r w:rsidRPr="005B0310">
              <w:rPr>
                <w:rFonts w:ascii="宋体" w:eastAsia="宋体" w:hAnsi="宋体" w:cs="宋体"/>
                <w:kern w:val="0"/>
                <w:szCs w:val="21"/>
              </w:rPr>
              <w:t>大。鼓励市内建筑企业强</w:t>
            </w:r>
            <w:proofErr w:type="gramStart"/>
            <w:r w:rsidRPr="005B0310">
              <w:rPr>
                <w:rFonts w:ascii="宋体" w:eastAsia="宋体" w:hAnsi="宋体" w:cs="宋体"/>
                <w:kern w:val="0"/>
                <w:szCs w:val="21"/>
              </w:rPr>
              <w:t>强</w:t>
            </w:r>
            <w:proofErr w:type="gramEnd"/>
            <w:r w:rsidRPr="005B0310">
              <w:rPr>
                <w:rFonts w:ascii="宋体" w:eastAsia="宋体" w:hAnsi="宋体" w:cs="宋体"/>
                <w:kern w:val="0"/>
                <w:szCs w:val="21"/>
              </w:rPr>
              <w:t>联合，发展成集设计、咨询、施工、管理于一体的综合性企业集团。对</w:t>
            </w:r>
            <w:proofErr w:type="gramStart"/>
            <w:r w:rsidRPr="005B0310">
              <w:rPr>
                <w:rFonts w:ascii="宋体" w:eastAsia="宋体" w:hAnsi="宋体" w:cs="宋体"/>
                <w:kern w:val="0"/>
                <w:szCs w:val="21"/>
              </w:rPr>
              <w:t>晋升总</w:t>
            </w:r>
            <w:proofErr w:type="gramEnd"/>
            <w:r w:rsidRPr="005B0310">
              <w:rPr>
                <w:rFonts w:ascii="宋体" w:eastAsia="宋体" w:hAnsi="宋体" w:cs="宋体"/>
                <w:kern w:val="0"/>
                <w:szCs w:val="21"/>
              </w:rPr>
              <w:t>承包壹级资质的企业一次性奖励150万元；</w:t>
            </w:r>
            <w:proofErr w:type="gramStart"/>
            <w:r w:rsidRPr="005B0310">
              <w:rPr>
                <w:rFonts w:ascii="宋体" w:eastAsia="宋体" w:hAnsi="宋体" w:cs="宋体"/>
                <w:kern w:val="0"/>
                <w:szCs w:val="21"/>
              </w:rPr>
              <w:t>晋升总</w:t>
            </w:r>
            <w:proofErr w:type="gramEnd"/>
            <w:r w:rsidRPr="005B0310">
              <w:rPr>
                <w:rFonts w:ascii="宋体" w:eastAsia="宋体" w:hAnsi="宋体" w:cs="宋体"/>
                <w:kern w:val="0"/>
                <w:szCs w:val="21"/>
              </w:rPr>
              <w:t>承包贰级资质的企业一次性奖励30万元；外来新注册的按上述标准给予奖励。进入省、宜昌市建筑业十强企业的，一次性分别奖励100万元、80万元。我市属地建筑企业中，年度纳税前三名且纳税额超过1000万元的建筑企业，分别给予30万元、20万元、10万元奖励。享受上述政策后在5年内迁出我市的建筑企业,有关部门应督促该企业退还奖励资金。</w:t>
            </w:r>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lastRenderedPageBreak/>
              <w:t>（二）鼓励支持企业培育人才。</w:t>
            </w:r>
            <w:bookmarkStart w:id="0" w:name="_GoBack"/>
            <w:r w:rsidRPr="005B0310">
              <w:rPr>
                <w:rFonts w:ascii="宋体" w:eastAsia="宋体" w:hAnsi="宋体" w:cs="宋体"/>
                <w:kern w:val="0"/>
                <w:szCs w:val="21"/>
              </w:rPr>
              <w:t>全面构建多渠道、多层次、多方式的人才培养和引进体系。对建筑企业引进的高层次创新人才、高层次急需紧缺专业人才，享受《当阳市沮漳英才“双百计划”实施办法》各种政策待遇。在我市纳税的建筑企业高级管理人员（董事长、总经理、技术负责人）年薪20万元以上的，经市住建部门、财政部门认定后，每年所缴纳个人所得税地方所得部分，在下一年度按50%奖励给个人。</w:t>
            </w:r>
            <w:bookmarkEnd w:id="0"/>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三、诚信政策</w:t>
            </w:r>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三）加强诚信体系建设。全面推动宜昌市建设行业诚信体系和综合监管系统联动运行，将企业诚信评价结果引入建设工程招投标，招标人根据项目实际情况合理设置信用评价分值，信用评价分值权重不低于5%。具体措施由市住建局与政务服务中心制定实施细则。市住建、交通、水利等部门要加强标后监管，对不履行投标承诺、存在违法违规行为、发生质量安全事故、恶意拖欠工资的建筑企业，及时曝光，并依法进行处罚，扣减诚信分，列入企业信用档案，直至清理出我市建筑市场。</w:t>
            </w:r>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（四）优化招投标工作机制。完善招投标竞争机制，严格控制招标人设置明显高于招标项目实际需要和脱离市场实际的不合理条件，严禁以各种形式排斥或限制潜在投标人投标。鼓励本市企业以单独或联合体形</w:t>
            </w:r>
            <w:proofErr w:type="gramStart"/>
            <w:r w:rsidRPr="005B0310">
              <w:rPr>
                <w:rFonts w:ascii="宋体" w:eastAsia="宋体" w:hAnsi="宋体" w:cs="宋体"/>
                <w:kern w:val="0"/>
                <w:szCs w:val="21"/>
              </w:rPr>
              <w:t>式参与</w:t>
            </w:r>
            <w:proofErr w:type="gramEnd"/>
            <w:r w:rsidRPr="005B0310">
              <w:rPr>
                <w:rFonts w:ascii="宋体" w:eastAsia="宋体" w:hAnsi="宋体" w:cs="宋体"/>
                <w:kern w:val="0"/>
                <w:szCs w:val="21"/>
              </w:rPr>
              <w:t>国有投资工程招标及采购。不需要公开招标的200万元以上非国有投资项目直接发包给我市建筑企业承建的，按项目建设所缴纳的企业所得税地方所得部分的30%奖励给投资方。在我市行政区域内，对实行邀请招标的政府性和国有投资项目优先邀请我市属地建筑业企业参与投标。</w:t>
            </w:r>
          </w:p>
          <w:p w:rsidR="005B0310" w:rsidRPr="005B0310" w:rsidRDefault="005B0310" w:rsidP="005B0310">
            <w:pPr>
              <w:widowControl/>
              <w:spacing w:before="100" w:beforeAutospacing="1" w:after="100" w:afterAutospacing="1" w:line="600" w:lineRule="atLeast"/>
              <w:jc w:val="left"/>
              <w:textAlignment w:val="baseline"/>
              <w:rPr>
                <w:rFonts w:ascii="宋体" w:eastAsia="宋体" w:hAnsi="宋体" w:cs="宋体"/>
                <w:kern w:val="0"/>
                <w:szCs w:val="21"/>
              </w:rPr>
            </w:pPr>
            <w:r w:rsidRPr="005B0310">
              <w:rPr>
                <w:rFonts w:ascii="宋体" w:eastAsia="宋体" w:hAnsi="宋体" w:cs="宋体"/>
                <w:kern w:val="0"/>
                <w:szCs w:val="21"/>
              </w:rPr>
              <w:t>    四、</w:t>
            </w:r>
            <w:proofErr w:type="gramStart"/>
            <w:r w:rsidRPr="005B0310">
              <w:rPr>
                <w:rFonts w:ascii="宋体" w:eastAsia="宋体" w:hAnsi="宋体" w:cs="宋体"/>
                <w:kern w:val="0"/>
                <w:szCs w:val="21"/>
              </w:rPr>
              <w:t>外营政策</w:t>
            </w:r>
            <w:proofErr w:type="gramEnd"/>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lastRenderedPageBreak/>
              <w:t>（五）鼓励支持企业实施“走出去”、“引进来”战略。积极支持建筑业企业拓展市场，加强现有驻外建筑队伍管理服务，在输出较多、市场潜力较大的地方跟踪做好服务管理工作，协调解决市场准入和市场管理等问题。</w:t>
            </w:r>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鼓励外地建筑总承包二级以上企业在当阳设立总部（资质注册地在当阳），经市住建、财政部门认定的总部企业，其在当阳新注册后在当阳市外承接工程所缴纳的增值税、企业所得税当阳地方财政所得部分，给予连续五年70%奖励。对“走出去”、“引进来”开拓建筑市场、为地方经济社会发展做出突出贡献的建筑企业，予以表彰奖励。本市建筑施工企业在当阳市外承接工程的，按该工程项目在我市缴纳的增值税、企业所得税当阳地方财政所得的50%给予奖励；鼓励在当阳承接工程的外地企业在当阳成立独立核算的分公司。有关单位和部门要认真履行协税职责。</w:t>
            </w:r>
          </w:p>
          <w:p w:rsidR="005B0310" w:rsidRPr="005B0310" w:rsidRDefault="005B0310" w:rsidP="005B0310">
            <w:pPr>
              <w:widowControl/>
              <w:spacing w:before="100" w:beforeAutospacing="1" w:after="100" w:afterAutospacing="1" w:line="600" w:lineRule="atLeast"/>
              <w:ind w:firstLine="645"/>
              <w:jc w:val="left"/>
              <w:textAlignment w:val="baseline"/>
              <w:rPr>
                <w:rFonts w:ascii="宋体" w:eastAsia="宋体" w:hAnsi="宋体" w:cs="宋体"/>
                <w:kern w:val="0"/>
                <w:szCs w:val="21"/>
              </w:rPr>
            </w:pPr>
            <w:proofErr w:type="gramStart"/>
            <w:r w:rsidRPr="005B0310">
              <w:rPr>
                <w:rFonts w:ascii="宋体" w:eastAsia="宋体" w:hAnsi="宋体" w:cs="宋体"/>
                <w:kern w:val="0"/>
                <w:szCs w:val="21"/>
              </w:rPr>
              <w:t>本意见自2017年1月1日起</w:t>
            </w:r>
            <w:proofErr w:type="gramEnd"/>
            <w:r w:rsidRPr="005B0310">
              <w:rPr>
                <w:rFonts w:ascii="宋体" w:eastAsia="宋体" w:hAnsi="宋体" w:cs="宋体"/>
                <w:kern w:val="0"/>
                <w:szCs w:val="21"/>
              </w:rPr>
              <w:t>执行。</w:t>
            </w:r>
          </w:p>
          <w:p w:rsidR="005B0310" w:rsidRPr="005B0310" w:rsidRDefault="005B0310" w:rsidP="005B0310">
            <w:pPr>
              <w:widowControl/>
              <w:spacing w:before="100" w:beforeAutospacing="1" w:after="100" w:afterAutospacing="1" w:line="555"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                            当阳市人民政府</w:t>
            </w:r>
          </w:p>
          <w:p w:rsidR="005B0310" w:rsidRPr="005B0310" w:rsidRDefault="005B0310" w:rsidP="005B0310">
            <w:pPr>
              <w:widowControl/>
              <w:spacing w:before="100" w:beforeAutospacing="1" w:after="100" w:afterAutospacing="1" w:line="555" w:lineRule="atLeast"/>
              <w:ind w:firstLine="645"/>
              <w:jc w:val="left"/>
              <w:textAlignment w:val="baseline"/>
              <w:rPr>
                <w:rFonts w:ascii="宋体" w:eastAsia="宋体" w:hAnsi="宋体" w:cs="宋体"/>
                <w:kern w:val="0"/>
                <w:szCs w:val="21"/>
              </w:rPr>
            </w:pPr>
            <w:r w:rsidRPr="005B0310">
              <w:rPr>
                <w:rFonts w:ascii="宋体" w:eastAsia="宋体" w:hAnsi="宋体" w:cs="宋体"/>
                <w:kern w:val="0"/>
                <w:szCs w:val="21"/>
              </w:rPr>
              <w:t>                             2017年7月21日</w:t>
            </w:r>
          </w:p>
        </w:tc>
      </w:tr>
    </w:tbl>
    <w:p w:rsidR="001846FF" w:rsidRPr="005B0310" w:rsidRDefault="00357F6F"/>
    <w:sectPr w:rsidR="001846FF" w:rsidRPr="005B0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95"/>
    <w:rsid w:val="00357F6F"/>
    <w:rsid w:val="005B0310"/>
    <w:rsid w:val="007A4795"/>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A94DB-C0C3-4BDA-903D-689CA932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3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0929">
      <w:bodyDiv w:val="1"/>
      <w:marLeft w:val="0"/>
      <w:marRight w:val="0"/>
      <w:marTop w:val="0"/>
      <w:marBottom w:val="0"/>
      <w:divBdr>
        <w:top w:val="none" w:sz="0" w:space="0" w:color="auto"/>
        <w:left w:val="none" w:sz="0" w:space="0" w:color="auto"/>
        <w:bottom w:val="none" w:sz="0" w:space="0" w:color="auto"/>
        <w:right w:val="none" w:sz="0" w:space="0" w:color="auto"/>
      </w:divBdr>
      <w:divsChild>
        <w:div w:id="1723020229">
          <w:marLeft w:val="0"/>
          <w:marRight w:val="0"/>
          <w:marTop w:val="0"/>
          <w:marBottom w:val="0"/>
          <w:divBdr>
            <w:top w:val="none" w:sz="0" w:space="0" w:color="auto"/>
            <w:left w:val="none" w:sz="0" w:space="0" w:color="auto"/>
            <w:bottom w:val="none" w:sz="0" w:space="0" w:color="auto"/>
            <w:right w:val="none" w:sz="0" w:space="0" w:color="auto"/>
          </w:divBdr>
          <w:divsChild>
            <w:div w:id="1173103097">
              <w:marLeft w:val="0"/>
              <w:marRight w:val="0"/>
              <w:marTop w:val="0"/>
              <w:marBottom w:val="0"/>
              <w:divBdr>
                <w:top w:val="none" w:sz="0" w:space="0" w:color="auto"/>
                <w:left w:val="none" w:sz="0" w:space="0" w:color="auto"/>
                <w:bottom w:val="none" w:sz="0" w:space="0" w:color="auto"/>
                <w:right w:val="none" w:sz="0" w:space="0" w:color="auto"/>
              </w:divBdr>
            </w:div>
            <w:div w:id="1511065714">
              <w:marLeft w:val="0"/>
              <w:marRight w:val="0"/>
              <w:marTop w:val="533"/>
              <w:marBottom w:val="0"/>
              <w:divBdr>
                <w:top w:val="none" w:sz="0" w:space="0" w:color="auto"/>
                <w:left w:val="none" w:sz="0" w:space="0" w:color="auto"/>
                <w:bottom w:val="none" w:sz="0" w:space="0" w:color="auto"/>
                <w:right w:val="none" w:sz="0" w:space="0" w:color="auto"/>
              </w:divBdr>
            </w:div>
            <w:div w:id="1979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2018-05-22T05:55:00Z</dcterms:created>
  <dcterms:modified xsi:type="dcterms:W3CDTF">2018-11-19T03:52:00Z</dcterms:modified>
</cp:coreProperties>
</file>