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5B" w:rsidRPr="00D4285B" w:rsidRDefault="00D4285B" w:rsidP="00D4285B">
      <w:pPr>
        <w:widowControl/>
        <w:shd w:val="clear" w:color="auto" w:fill="FFFFFF"/>
        <w:jc w:val="center"/>
        <w:outlineLvl w:val="1"/>
        <w:rPr>
          <w:rFonts w:ascii="microsoft yahei" w:eastAsia="宋体" w:hAnsi="microsoft yahei" w:cs="Times New Roman"/>
          <w:b/>
          <w:bCs/>
          <w:color w:val="000000"/>
          <w:kern w:val="36"/>
          <w:sz w:val="48"/>
          <w:szCs w:val="48"/>
        </w:rPr>
      </w:pPr>
      <w:bookmarkStart w:id="0" w:name="_GoBack"/>
      <w:r w:rsidRPr="00D4285B">
        <w:rPr>
          <w:rFonts w:ascii="microsoft yahei" w:eastAsia="宋体" w:hAnsi="microsoft yahei" w:cs="Times New Roman"/>
          <w:b/>
          <w:bCs/>
          <w:color w:val="000000"/>
          <w:kern w:val="36"/>
          <w:sz w:val="48"/>
          <w:szCs w:val="48"/>
        </w:rPr>
        <w:t>大冶市人民政府关于促进古建产业发展的若干意见</w:t>
      </w:r>
    </w:p>
    <w:bookmarkEnd w:id="0"/>
    <w:p w:rsidR="00D4285B" w:rsidRPr="00D4285B" w:rsidRDefault="00D4285B" w:rsidP="00D4285B">
      <w:pPr>
        <w:widowControl/>
        <w:shd w:val="clear" w:color="auto" w:fill="FFFFFF"/>
        <w:wordWrap w:val="0"/>
        <w:spacing w:line="560" w:lineRule="atLeast"/>
        <w:ind w:firstLine="375"/>
        <w:rPr>
          <w:rFonts w:ascii="Times New Roman" w:eastAsia="宋体" w:hAnsi="Times New Roman" w:cs="Times New Roman" w:hint="eastAsia"/>
          <w:color w:val="000000"/>
          <w:kern w:val="0"/>
          <w:szCs w:val="21"/>
        </w:rPr>
      </w:pPr>
      <w:r w:rsidRPr="00D4285B">
        <w:rPr>
          <w:rFonts w:ascii="宋体" w:eastAsia="宋体" w:hAnsi="宋体" w:cs="Times New Roman" w:hint="eastAsia"/>
          <w:color w:val="000000"/>
          <w:kern w:val="0"/>
          <w:sz w:val="28"/>
          <w:szCs w:val="28"/>
        </w:rPr>
        <w:t>各乡镇人民政府，各街道办事处，经济开发区，东风农场管理区，市直各部门单位：</w:t>
      </w:r>
    </w:p>
    <w:p w:rsidR="00D4285B" w:rsidRPr="00D4285B" w:rsidRDefault="00D4285B" w:rsidP="00D4285B">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为全面提升我市古建筑企业整体素质和竞争力，弘扬古建文化，打造大冶“城市名片”，根据国家、省有关规定,结合我市实际，现就促进古建产业加快发展提出如下意见：</w:t>
      </w:r>
    </w:p>
    <w:p w:rsidR="00D4285B" w:rsidRPr="00D4285B" w:rsidRDefault="00D4285B" w:rsidP="00D4285B">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一、总体目标要求</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（一）以科学思想引领产业发展。</w:t>
      </w:r>
      <w:r w:rsidRPr="00D4285B">
        <w:rPr>
          <w:rFonts w:ascii="宋体" w:eastAsia="宋体" w:hAnsi="宋体" w:cs="Times New Roman" w:hint="eastAsia"/>
          <w:color w:val="000000"/>
          <w:kern w:val="0"/>
          <w:sz w:val="28"/>
          <w:szCs w:val="28"/>
        </w:rPr>
        <w:t>以习近平新时代中国特色社会主义思想为指导，深入贯彻党的十九大精神，以“保增长、抓转型、促提升”为主线，转变增长方式，优化管理服务，解放思想，凝聚力量，攻坚克难，推动古建筑企业由数量型、劳动密集型、粗放型、速度型向质量型、科技型、集约型、效益型转变，提高古建筑企业的综合竞争力、产业带动力和经济贡献率，</w:t>
      </w:r>
      <w:proofErr w:type="gramStart"/>
      <w:r w:rsidRPr="00D4285B">
        <w:rPr>
          <w:rFonts w:ascii="宋体" w:eastAsia="宋体" w:hAnsi="宋体" w:cs="Times New Roman" w:hint="eastAsia"/>
          <w:color w:val="000000"/>
          <w:kern w:val="0"/>
          <w:sz w:val="28"/>
          <w:szCs w:val="28"/>
        </w:rPr>
        <w:t>传承发扬</w:t>
      </w:r>
      <w:proofErr w:type="gramEnd"/>
      <w:r w:rsidRPr="00D4285B">
        <w:rPr>
          <w:rFonts w:ascii="宋体" w:eastAsia="宋体" w:hAnsi="宋体" w:cs="Times New Roman" w:hint="eastAsia"/>
          <w:color w:val="000000"/>
          <w:kern w:val="0"/>
          <w:sz w:val="28"/>
          <w:szCs w:val="28"/>
        </w:rPr>
        <w:t>古建文化，促进古建筑企业持续、快速、健康发展，更好振兴我市文化产业。</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（二）突出品牌确立产业发展目标。</w:t>
      </w:r>
      <w:r w:rsidRPr="00D4285B">
        <w:rPr>
          <w:rFonts w:ascii="宋体" w:eastAsia="宋体" w:hAnsi="宋体" w:cs="Times New Roman" w:hint="eastAsia"/>
          <w:color w:val="000000"/>
          <w:kern w:val="0"/>
          <w:sz w:val="28"/>
          <w:szCs w:val="28"/>
        </w:rPr>
        <w:t>坚持“突出重点，集中力量扶优扶强；突出特点，彰显大冶特色；注重培育产业链，促进古建集群发展”的原则，力争到2020年底，全市古建筑企业总产值达100亿元,年增长率20%左右，在我市缴税额2亿元；培育一级古建筑企业15家以上，二级古建筑企业15家以上，古建筑关联企业也得到长足发展，进一步巩固我市古建产业“全国领先”地位，更好打响“大冶古建”品牌。</w:t>
      </w:r>
    </w:p>
    <w:p w:rsidR="00D4285B" w:rsidRPr="00D4285B" w:rsidRDefault="00D4285B" w:rsidP="00D4285B">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lastRenderedPageBreak/>
        <w:t>二、建立帮扶措施</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（三）实施集团化发展战略。</w:t>
      </w:r>
      <w:r w:rsidRPr="00D4285B">
        <w:rPr>
          <w:rFonts w:ascii="宋体" w:eastAsia="宋体" w:hAnsi="宋体" w:cs="Times New Roman" w:hint="eastAsia"/>
          <w:color w:val="000000"/>
          <w:kern w:val="0"/>
          <w:sz w:val="28"/>
          <w:szCs w:val="28"/>
        </w:rPr>
        <w:t>鼓励以</w:t>
      </w:r>
      <w:proofErr w:type="gramStart"/>
      <w:r w:rsidRPr="00D4285B">
        <w:rPr>
          <w:rFonts w:ascii="宋体" w:eastAsia="宋体" w:hAnsi="宋体" w:cs="Times New Roman" w:hint="eastAsia"/>
          <w:color w:val="000000"/>
          <w:kern w:val="0"/>
          <w:sz w:val="28"/>
          <w:szCs w:val="28"/>
        </w:rPr>
        <w:t>湖北殷祖古建</w:t>
      </w:r>
      <w:proofErr w:type="gramEnd"/>
      <w:r w:rsidRPr="00D4285B">
        <w:rPr>
          <w:rFonts w:ascii="宋体" w:eastAsia="宋体" w:hAnsi="宋体" w:cs="Times New Roman" w:hint="eastAsia"/>
          <w:color w:val="000000"/>
          <w:kern w:val="0"/>
          <w:sz w:val="28"/>
          <w:szCs w:val="28"/>
        </w:rPr>
        <w:t>园林工程有限公司为核心的古建筑企业，以资本为纽带，以集团章程为行为准则，整合优势资源，组建母公司、子公司、参股企业等共同形成的企业法人联合体，建立古建筑企业集团，扩大古建筑企业的影响力，增强市场竞争力。促进古建筑企业集团多元化经营，向上下游延伸产业链，实现产业链纵向整合、横向联合，构建“大古建”格局。集中力量、集成要素对古建筑企业集团给予支持。</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（四）打造古建筑文化产业园。</w:t>
      </w:r>
      <w:r w:rsidRPr="00D4285B">
        <w:rPr>
          <w:rFonts w:ascii="宋体" w:eastAsia="宋体" w:hAnsi="宋体" w:cs="Times New Roman" w:hint="eastAsia"/>
          <w:color w:val="000000"/>
          <w:kern w:val="0"/>
          <w:sz w:val="28"/>
          <w:szCs w:val="28"/>
        </w:rPr>
        <w:t>支持在铜绿山青铜小镇建设古建筑文化产业园，建成融研发、培训、展示、宣传、信息等为一体的古建筑企业集聚区、古建技艺传承培训服务区、古建产业发展创新引领区，打造全国一流的古建产业基地。鼓励我市古建筑企业进驻园区，吸引外地古建筑</w:t>
      </w:r>
      <w:proofErr w:type="gramStart"/>
      <w:r w:rsidRPr="00D4285B">
        <w:rPr>
          <w:rFonts w:ascii="宋体" w:eastAsia="宋体" w:hAnsi="宋体" w:cs="Times New Roman" w:hint="eastAsia"/>
          <w:color w:val="000000"/>
          <w:kern w:val="0"/>
          <w:sz w:val="28"/>
          <w:szCs w:val="28"/>
        </w:rPr>
        <w:t>企业来冶入户</w:t>
      </w:r>
      <w:proofErr w:type="gramEnd"/>
      <w:r w:rsidRPr="00D4285B">
        <w:rPr>
          <w:rFonts w:ascii="宋体" w:eastAsia="宋体" w:hAnsi="宋体" w:cs="Times New Roman" w:hint="eastAsia"/>
          <w:color w:val="000000"/>
          <w:kern w:val="0"/>
          <w:sz w:val="28"/>
          <w:szCs w:val="28"/>
        </w:rPr>
        <w:t>，发挥规模经营、总部经济效应，加快古建产业创新步伐。整合各类生产要素，形成全要素、规模化的古建产业链，推动古建产业集聚集约发展。支持在</w:t>
      </w:r>
      <w:proofErr w:type="gramStart"/>
      <w:r w:rsidRPr="00D4285B">
        <w:rPr>
          <w:rFonts w:ascii="宋体" w:eastAsia="宋体" w:hAnsi="宋体" w:cs="Times New Roman" w:hint="eastAsia"/>
          <w:color w:val="000000"/>
          <w:kern w:val="0"/>
          <w:sz w:val="28"/>
          <w:szCs w:val="28"/>
        </w:rPr>
        <w:t>殷祖镇</w:t>
      </w:r>
      <w:proofErr w:type="gramEnd"/>
      <w:r w:rsidRPr="00D4285B">
        <w:rPr>
          <w:rFonts w:ascii="宋体" w:eastAsia="宋体" w:hAnsi="宋体" w:cs="Times New Roman" w:hint="eastAsia"/>
          <w:color w:val="000000"/>
          <w:kern w:val="0"/>
          <w:sz w:val="28"/>
          <w:szCs w:val="28"/>
        </w:rPr>
        <w:t>建设古建筑材料生产基地，推进古建特色小镇建设。</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（五）培育龙头骨干企业。</w:t>
      </w:r>
      <w:r w:rsidRPr="00D4285B">
        <w:rPr>
          <w:rFonts w:ascii="宋体" w:eastAsia="宋体" w:hAnsi="宋体" w:cs="Times New Roman" w:hint="eastAsia"/>
          <w:color w:val="000000"/>
          <w:kern w:val="0"/>
          <w:sz w:val="28"/>
          <w:szCs w:val="28"/>
        </w:rPr>
        <w:t>培育和引进龙头企业，古建筑施工企业资质由二级晋升为一级的，给予一次性奖励3万元；由三级晋升为二级的，给予一次性奖励1万元。对首次年度总产值超20亿元且在本地年纳税额达2000万元以上、增速高于全省建筑业平均水平的古建筑企业，命名为“大冶市古建产业骨干企业”，授予企业经营者“大冶市古建产业发展杰出人才”；对首次年度总产值超50亿元且在本</w:t>
      </w:r>
      <w:r w:rsidRPr="00D4285B">
        <w:rPr>
          <w:rFonts w:ascii="宋体" w:eastAsia="宋体" w:hAnsi="宋体" w:cs="Times New Roman" w:hint="eastAsia"/>
          <w:color w:val="000000"/>
          <w:kern w:val="0"/>
          <w:sz w:val="28"/>
          <w:szCs w:val="28"/>
        </w:rPr>
        <w:lastRenderedPageBreak/>
        <w:t>地年纳税额达5000万元以上、增速高于全省建筑业平均水平的古建筑企业，命名为“大冶市古建产业龙头企业”，授予企业经营者“大冶市古建产业发展功臣”。</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（六）加强人才培养引进。</w:t>
      </w:r>
      <w:r w:rsidRPr="00D4285B">
        <w:rPr>
          <w:rFonts w:ascii="宋体" w:eastAsia="宋体" w:hAnsi="宋体" w:cs="Times New Roman" w:hint="eastAsia"/>
          <w:color w:val="000000"/>
          <w:kern w:val="0"/>
          <w:sz w:val="28"/>
          <w:szCs w:val="28"/>
        </w:rPr>
        <w:t>大力培育古建筑产业人才，保障产业持续发展，将古建产业人才培养列入扶持计划，在培训机构建立、设施设备配置等方面予以扶持。借鉴汉龙公司人才培育模式，采取协会送培或企业送培方式，支持古建筑企业人才队伍建设。鼓励企业积极与建筑类大中专院校合作，大力培养专业技术人才。同时，加大对现有专业技术人员的提升培训,帮助从业人员提升专业技术水平,提高队伍综合素质。进一步加大古建产业人才引进和培育的奖励力度，古建筑企业引进的高级职称人才或一级注册建造师，享受市人才培育、引进的相关政策。坚持以业绩、能力导向，对无相应学历但具有丰富实践经验、业绩突出的工程专业技术人员，适当放宽申报相应专业技术资格条件。</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（七）加大金融扶持力度。</w:t>
      </w:r>
      <w:r w:rsidRPr="00D4285B">
        <w:rPr>
          <w:rFonts w:ascii="宋体" w:eastAsia="宋体" w:hAnsi="宋体" w:cs="Times New Roman" w:hint="eastAsia"/>
          <w:color w:val="000000"/>
          <w:kern w:val="0"/>
          <w:sz w:val="28"/>
          <w:szCs w:val="28"/>
        </w:rPr>
        <w:t>积极引导金融机构对成长型、效益型、信用良好的古建筑企业给予扶持，提高综合授信额度和服务水平，简化审贷程序，适当给予利率优惠。创新金融产品和服务方式，以工程合同、应收账款、建筑材料、工程设备等动产，以及股权、专利权质押等形式解决企业的资金需求问题。探索建立古建筑产业金融服务平台。引导保险机构和银行合作开发适合古建产业特点的应收账款信用保险及抵押贷款产品。</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lastRenderedPageBreak/>
        <w:t>（八）落实税收优惠待遇。</w:t>
      </w:r>
      <w:r w:rsidRPr="00D4285B">
        <w:rPr>
          <w:rFonts w:ascii="宋体" w:eastAsia="宋体" w:hAnsi="宋体" w:cs="Times New Roman" w:hint="eastAsia"/>
          <w:color w:val="000000"/>
          <w:kern w:val="0"/>
          <w:sz w:val="28"/>
          <w:szCs w:val="28"/>
        </w:rPr>
        <w:t>加强对古建筑企业的税收管理，规范税收征管行为。市财政、税务等部门尽快研究制定促进古建筑企业发展的税收征缴与激励政策，加强对古建筑企业纳税辅导，规范会计核算，尽量取得进项发票，降低企业税负，鼓励和吸引企业在大冶市纳税。凡原注册在外地的古建筑企业，变更回大冶市注册，或在我市新登记注册的古建筑企业，承诺五年内不迁出大冶市的，给予企业注册落户之日起连续三个自然年度缴纳税额地方新增财力30%、20%、10%的奖励。</w:t>
      </w:r>
    </w:p>
    <w:p w:rsidR="00D4285B" w:rsidRPr="00D4285B" w:rsidRDefault="00D4285B" w:rsidP="00D4285B">
      <w:pPr>
        <w:widowControl/>
        <w:shd w:val="clear" w:color="auto" w:fill="FFFFFF"/>
        <w:wordWrap w:val="0"/>
        <w:spacing w:line="560" w:lineRule="atLeast"/>
        <w:ind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（九）支持拓展外埠市场。</w:t>
      </w:r>
      <w:r w:rsidRPr="00D4285B">
        <w:rPr>
          <w:rFonts w:ascii="宋体" w:eastAsia="宋体" w:hAnsi="宋体" w:cs="Times New Roman" w:hint="eastAsia"/>
          <w:color w:val="000000"/>
          <w:kern w:val="0"/>
          <w:sz w:val="28"/>
          <w:szCs w:val="28"/>
        </w:rPr>
        <w:t>抢抓国家推进旅游发展等战略机遇，鼓励古建筑企业与大型工程承包商建立战略联盟，以项目合作为载体，共同拓展境内外工程承包业务。鼓励古建筑企业外出创建优质工程，对获得外省最高建筑行业奖项的古建筑企业视同获得“楚天杯”，给予一次性奖励3万元；对获得外地（市）最高建筑行业奖项的古建筑企业视同获得“铜都杯”，给予一次性奖励1万元。建设行政主管部门要靠前服务，加大外出古建筑企业跟踪服务力度，加强与项目所在地行业主管部门沟通协调，切实帮助企业解决发展中遇到的困难和问题，助</w:t>
      </w:r>
      <w:proofErr w:type="gramStart"/>
      <w:r w:rsidRPr="00D4285B">
        <w:rPr>
          <w:rFonts w:ascii="宋体" w:eastAsia="宋体" w:hAnsi="宋体" w:cs="Times New Roman" w:hint="eastAsia"/>
          <w:color w:val="000000"/>
          <w:kern w:val="0"/>
          <w:sz w:val="28"/>
          <w:szCs w:val="28"/>
        </w:rPr>
        <w:t>推企业</w:t>
      </w:r>
      <w:proofErr w:type="gramEnd"/>
      <w:r w:rsidRPr="00D4285B">
        <w:rPr>
          <w:rFonts w:ascii="宋体" w:eastAsia="宋体" w:hAnsi="宋体" w:cs="Times New Roman" w:hint="eastAsia"/>
          <w:color w:val="000000"/>
          <w:kern w:val="0"/>
          <w:sz w:val="28"/>
          <w:szCs w:val="28"/>
        </w:rPr>
        <w:t>外拓市场。</w:t>
      </w:r>
    </w:p>
    <w:p w:rsidR="00D4285B" w:rsidRPr="00D4285B" w:rsidRDefault="00D4285B" w:rsidP="00D4285B">
      <w:pPr>
        <w:widowControl/>
        <w:shd w:val="clear" w:color="auto" w:fill="FFFFFF"/>
        <w:wordWrap w:val="0"/>
        <w:spacing w:line="560" w:lineRule="atLeast"/>
        <w:ind w:firstLine="560"/>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三、强化保障措施</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（十）加强组织领导。</w:t>
      </w:r>
      <w:r w:rsidRPr="00D4285B">
        <w:rPr>
          <w:rFonts w:ascii="宋体" w:eastAsia="宋体" w:hAnsi="宋体" w:cs="Times New Roman" w:hint="eastAsia"/>
          <w:color w:val="000000"/>
          <w:kern w:val="0"/>
          <w:sz w:val="28"/>
          <w:szCs w:val="28"/>
        </w:rPr>
        <w:t>市政府成立以市长为组长, 以分管副市长为副组长，市政府金融办、市建设局、市</w:t>
      </w:r>
      <w:proofErr w:type="gramStart"/>
      <w:r w:rsidRPr="00D4285B">
        <w:rPr>
          <w:rFonts w:ascii="宋体" w:eastAsia="宋体" w:hAnsi="宋体" w:cs="Times New Roman" w:hint="eastAsia"/>
          <w:color w:val="000000"/>
          <w:kern w:val="0"/>
          <w:sz w:val="28"/>
          <w:szCs w:val="28"/>
        </w:rPr>
        <w:t>发改局</w:t>
      </w:r>
      <w:proofErr w:type="gramEnd"/>
      <w:r w:rsidRPr="00D4285B">
        <w:rPr>
          <w:rFonts w:ascii="宋体" w:eastAsia="宋体" w:hAnsi="宋体" w:cs="Times New Roman" w:hint="eastAsia"/>
          <w:color w:val="000000"/>
          <w:kern w:val="0"/>
          <w:sz w:val="28"/>
          <w:szCs w:val="28"/>
        </w:rPr>
        <w:t>、市财政局、市工商局、市国税局、市地税局、市规划局、市国土资源局、市</w:t>
      </w:r>
      <w:proofErr w:type="gramStart"/>
      <w:r w:rsidRPr="00D4285B">
        <w:rPr>
          <w:rFonts w:ascii="宋体" w:eastAsia="宋体" w:hAnsi="宋体" w:cs="Times New Roman" w:hint="eastAsia"/>
          <w:color w:val="000000"/>
          <w:kern w:val="0"/>
          <w:sz w:val="28"/>
          <w:szCs w:val="28"/>
        </w:rPr>
        <w:t>人社局</w:t>
      </w:r>
      <w:proofErr w:type="gramEnd"/>
      <w:r w:rsidRPr="00D4285B">
        <w:rPr>
          <w:rFonts w:ascii="宋体" w:eastAsia="宋体" w:hAnsi="宋体" w:cs="Times New Roman" w:hint="eastAsia"/>
          <w:color w:val="000000"/>
          <w:kern w:val="0"/>
          <w:sz w:val="28"/>
          <w:szCs w:val="28"/>
        </w:rPr>
        <w:t>、市文新广局、市旅游局、市房产局、市城投公司、市中小企业担保公司、</w:t>
      </w:r>
      <w:r w:rsidRPr="00D4285B">
        <w:rPr>
          <w:rFonts w:ascii="宋体" w:eastAsia="宋体" w:hAnsi="宋体" w:cs="Times New Roman" w:hint="eastAsia"/>
          <w:color w:val="000000"/>
          <w:kern w:val="0"/>
          <w:sz w:val="28"/>
          <w:szCs w:val="28"/>
        </w:rPr>
        <w:lastRenderedPageBreak/>
        <w:t>市人民银行、殷祖镇等相关部门单位行政负责人为成员的大冶</w:t>
      </w:r>
      <w:proofErr w:type="gramStart"/>
      <w:r w:rsidRPr="00D4285B">
        <w:rPr>
          <w:rFonts w:ascii="宋体" w:eastAsia="宋体" w:hAnsi="宋体" w:cs="Times New Roman" w:hint="eastAsia"/>
          <w:color w:val="000000"/>
          <w:kern w:val="0"/>
          <w:sz w:val="28"/>
          <w:szCs w:val="28"/>
        </w:rPr>
        <w:t>市促进</w:t>
      </w:r>
      <w:proofErr w:type="gramEnd"/>
      <w:r w:rsidRPr="00D4285B">
        <w:rPr>
          <w:rFonts w:ascii="宋体" w:eastAsia="宋体" w:hAnsi="宋体" w:cs="Times New Roman" w:hint="eastAsia"/>
          <w:color w:val="000000"/>
          <w:kern w:val="0"/>
          <w:sz w:val="28"/>
          <w:szCs w:val="28"/>
        </w:rPr>
        <w:t>古建产业发展领导小组，领导小组下设办公室，办公地点设在市建设局，市建设局局长兼任办公室主任，负责开展古建筑企业发展调研，制定古建产业中长期发展规划，协调解决古建产业发展中的重大问题；制定全市扶持古建产业发展政策，并做好检查落实工作，协调相关部门落实支持古建筑企业发展政策。同时，在市建设局设立古建筑产业发展与管理办公室，负责古建筑企业的培育以及资质管理和品牌宣传等，加强对古建筑企业跟踪管理和服务。</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（十一）规范行业收费。</w:t>
      </w:r>
      <w:r w:rsidRPr="00D4285B">
        <w:rPr>
          <w:rFonts w:ascii="宋体" w:eastAsia="宋体" w:hAnsi="宋体" w:cs="Times New Roman" w:hint="eastAsia"/>
          <w:color w:val="000000"/>
          <w:kern w:val="0"/>
          <w:sz w:val="28"/>
          <w:szCs w:val="28"/>
        </w:rPr>
        <w:t>坚决制止乱收费、乱摊派和变相集资等行为，落实古建筑行业收费缴费登记卡制度。凡未列入行业缴费登记卡的收费项目，一律视为违规收费，企业有权拒缴。依法收取的费用要规范管理，对信誉好的古建筑企业应按相关规定缓交或减免。</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（十二）设立专项资金。</w:t>
      </w:r>
      <w:r w:rsidRPr="00D4285B">
        <w:rPr>
          <w:rFonts w:ascii="宋体" w:eastAsia="宋体" w:hAnsi="宋体" w:cs="Times New Roman" w:hint="eastAsia"/>
          <w:color w:val="000000"/>
          <w:kern w:val="0"/>
          <w:sz w:val="28"/>
          <w:szCs w:val="28"/>
        </w:rPr>
        <w:t>市财政设立古建产业发展专项扶持资金300万元，用于奖励古建筑业企业资质升级、工程创优以及支持古建产业创新能力提升、成果展示推介、相关课题研究、发展规划制定、维权打假等。古建筑企业从获得奖励时间起5年内迁出我市的，需全额退回奖励资金。</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（十三）加强诚信建设。</w:t>
      </w:r>
      <w:r w:rsidRPr="00D4285B">
        <w:rPr>
          <w:rFonts w:ascii="宋体" w:eastAsia="宋体" w:hAnsi="宋体" w:cs="Times New Roman" w:hint="eastAsia"/>
          <w:color w:val="000000"/>
          <w:kern w:val="0"/>
          <w:sz w:val="28"/>
          <w:szCs w:val="28"/>
        </w:rPr>
        <w:t>切实开展维权打假，严厉打击私刻公章、私设账户、拖欠农民工工资和材料款、侵占集体资产等违法及其他不良行为，落实守信激励和失信惩戒机制，进一步规范古建筑市场秩序，维护我市古建品牌声誉。为古建筑企业提供司法援助，支持企业依法维权、催收工程欠款等，通过加强政府服务支持古建筑企业发展。</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lastRenderedPageBreak/>
        <w:t>（十四）发挥协会作用。</w:t>
      </w:r>
      <w:r w:rsidRPr="00D4285B">
        <w:rPr>
          <w:rFonts w:ascii="宋体" w:eastAsia="宋体" w:hAnsi="宋体" w:cs="Times New Roman" w:hint="eastAsia"/>
          <w:color w:val="000000"/>
          <w:kern w:val="0"/>
          <w:sz w:val="28"/>
          <w:szCs w:val="28"/>
        </w:rPr>
        <w:t>坚持加强行政监管与行业自律的有机结合，支持古建行业协会承接政府职能转移工作，加强古建行业协会自身建设，促进古建行业协会在提供政策咨询、开展行业研究、加强行业自律、服务企业、促进行业发展等方面更好发挥作用。</w:t>
      </w:r>
    </w:p>
    <w:p w:rsidR="00D4285B" w:rsidRPr="00D4285B" w:rsidRDefault="00D4285B" w:rsidP="00D4285B">
      <w:pPr>
        <w:widowControl/>
        <w:shd w:val="clear" w:color="auto" w:fill="FFFFFF"/>
        <w:wordWrap w:val="0"/>
        <w:spacing w:line="560" w:lineRule="atLeast"/>
        <w:ind w:left="2" w:firstLine="560"/>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四、其他</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（十五）坚持不</w:t>
      </w:r>
      <w:proofErr w:type="gramStart"/>
      <w:r w:rsidRPr="00D4285B">
        <w:rPr>
          <w:rFonts w:ascii="宋体" w:eastAsia="宋体" w:hAnsi="宋体" w:cs="Times New Roman" w:hint="eastAsia"/>
          <w:b/>
          <w:bCs/>
          <w:color w:val="000000"/>
          <w:kern w:val="0"/>
          <w:sz w:val="28"/>
          <w:szCs w:val="28"/>
        </w:rPr>
        <w:t>重复奖补原则</w:t>
      </w:r>
      <w:proofErr w:type="gramEnd"/>
      <w:r w:rsidRPr="00D4285B">
        <w:rPr>
          <w:rFonts w:ascii="宋体" w:eastAsia="宋体" w:hAnsi="宋体" w:cs="Times New Roman" w:hint="eastAsia"/>
          <w:b/>
          <w:bCs/>
          <w:color w:val="000000"/>
          <w:kern w:val="0"/>
          <w:sz w:val="28"/>
          <w:szCs w:val="28"/>
        </w:rPr>
        <w:t>。</w:t>
      </w:r>
      <w:r w:rsidRPr="00D4285B">
        <w:rPr>
          <w:rFonts w:ascii="宋体" w:eastAsia="宋体" w:hAnsi="宋体" w:cs="Times New Roman" w:hint="eastAsia"/>
          <w:color w:val="000000"/>
          <w:kern w:val="0"/>
          <w:sz w:val="28"/>
          <w:szCs w:val="28"/>
        </w:rPr>
        <w:t>本政策意见与市已出台的相关扶持奖励政策有重复的，单个企业或同一建设项目当年获多项扶持政策的，同一类奖项重复获得的，按</w:t>
      </w:r>
      <w:proofErr w:type="gramStart"/>
      <w:r w:rsidRPr="00D4285B">
        <w:rPr>
          <w:rFonts w:ascii="宋体" w:eastAsia="宋体" w:hAnsi="宋体" w:cs="Times New Roman" w:hint="eastAsia"/>
          <w:color w:val="000000"/>
          <w:kern w:val="0"/>
          <w:sz w:val="28"/>
          <w:szCs w:val="28"/>
        </w:rPr>
        <w:t>从优但</w:t>
      </w:r>
      <w:proofErr w:type="gramEnd"/>
      <w:r w:rsidRPr="00D4285B">
        <w:rPr>
          <w:rFonts w:ascii="宋体" w:eastAsia="宋体" w:hAnsi="宋体" w:cs="Times New Roman" w:hint="eastAsia"/>
          <w:color w:val="000000"/>
          <w:kern w:val="0"/>
          <w:sz w:val="28"/>
          <w:szCs w:val="28"/>
        </w:rPr>
        <w:t>不重复原则给予奖励。</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（十六）明确意见实施范围。</w:t>
      </w:r>
      <w:r w:rsidRPr="00D4285B">
        <w:rPr>
          <w:rFonts w:ascii="宋体" w:eastAsia="宋体" w:hAnsi="宋体" w:cs="Times New Roman" w:hint="eastAsia"/>
          <w:color w:val="000000"/>
          <w:kern w:val="0"/>
          <w:sz w:val="28"/>
          <w:szCs w:val="28"/>
        </w:rPr>
        <w:t>本意见适用于工商、税务登记、统计登记在本市行政区域内具有古建筑工程专业承包资质的施工企业和古建筑构配件生产企业。</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（十七）</w:t>
      </w:r>
      <w:proofErr w:type="gramStart"/>
      <w:r w:rsidRPr="00D4285B">
        <w:rPr>
          <w:rFonts w:ascii="宋体" w:eastAsia="宋体" w:hAnsi="宋体" w:cs="Times New Roman" w:hint="eastAsia"/>
          <w:b/>
          <w:bCs/>
          <w:color w:val="000000"/>
          <w:kern w:val="0"/>
          <w:sz w:val="28"/>
          <w:szCs w:val="28"/>
        </w:rPr>
        <w:t>本意见自发布</w:t>
      </w:r>
      <w:proofErr w:type="gramEnd"/>
      <w:r w:rsidRPr="00D4285B">
        <w:rPr>
          <w:rFonts w:ascii="宋体" w:eastAsia="宋体" w:hAnsi="宋体" w:cs="Times New Roman" w:hint="eastAsia"/>
          <w:b/>
          <w:bCs/>
          <w:color w:val="000000"/>
          <w:kern w:val="0"/>
          <w:sz w:val="28"/>
          <w:szCs w:val="28"/>
        </w:rPr>
        <w:t>之日起实施。</w:t>
      </w:r>
    </w:p>
    <w:p w:rsidR="00D4285B" w:rsidRPr="00D4285B" w:rsidRDefault="00D4285B" w:rsidP="00D4285B">
      <w:pPr>
        <w:widowControl/>
        <w:shd w:val="clear" w:color="auto" w:fill="FFFFFF"/>
        <w:wordWrap w:val="0"/>
        <w:spacing w:line="560" w:lineRule="atLeast"/>
        <w:ind w:left="2" w:firstLine="562"/>
        <w:rPr>
          <w:rFonts w:ascii="Times New Roman" w:eastAsia="宋体" w:hAnsi="Times New Roman" w:cs="Times New Roman"/>
          <w:color w:val="000000"/>
          <w:kern w:val="0"/>
          <w:szCs w:val="21"/>
        </w:rPr>
      </w:pPr>
      <w:r w:rsidRPr="00D4285B">
        <w:rPr>
          <w:rFonts w:ascii="宋体" w:eastAsia="宋体" w:hAnsi="宋体" w:cs="Times New Roman" w:hint="eastAsia"/>
          <w:b/>
          <w:bCs/>
          <w:color w:val="000000"/>
          <w:kern w:val="0"/>
          <w:sz w:val="28"/>
          <w:szCs w:val="28"/>
        </w:rPr>
        <w:t> </w:t>
      </w:r>
    </w:p>
    <w:p w:rsidR="00D4285B" w:rsidRPr="00D4285B" w:rsidRDefault="00D4285B" w:rsidP="00D4285B">
      <w:pPr>
        <w:widowControl/>
        <w:shd w:val="clear" w:color="auto" w:fill="FFFFFF"/>
        <w:wordWrap w:val="0"/>
        <w:spacing w:line="560" w:lineRule="atLeast"/>
        <w:ind w:firstLine="375"/>
        <w:jc w:val="right"/>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大冶市人民政府</w:t>
      </w:r>
    </w:p>
    <w:p w:rsidR="00D4285B" w:rsidRPr="00D4285B" w:rsidRDefault="00D4285B" w:rsidP="00D4285B">
      <w:pPr>
        <w:widowControl/>
        <w:shd w:val="clear" w:color="auto" w:fill="FFFFFF"/>
        <w:wordWrap w:val="0"/>
        <w:spacing w:line="520" w:lineRule="atLeast"/>
        <w:ind w:firstLine="375"/>
        <w:jc w:val="right"/>
        <w:rPr>
          <w:rFonts w:ascii="Times New Roman" w:eastAsia="宋体" w:hAnsi="Times New Roman" w:cs="Times New Roman"/>
          <w:color w:val="000000"/>
          <w:kern w:val="0"/>
          <w:szCs w:val="21"/>
        </w:rPr>
      </w:pPr>
      <w:r w:rsidRPr="00D4285B">
        <w:rPr>
          <w:rFonts w:ascii="宋体" w:eastAsia="宋体" w:hAnsi="宋体" w:cs="Times New Roman" w:hint="eastAsia"/>
          <w:color w:val="000000"/>
          <w:kern w:val="0"/>
          <w:sz w:val="28"/>
          <w:szCs w:val="28"/>
        </w:rPr>
        <w:t>2018年2月26日</w:t>
      </w:r>
    </w:p>
    <w:p w:rsidR="001846FF" w:rsidRDefault="00D4285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0543B"/>
    <w:multiLevelType w:val="multilevel"/>
    <w:tmpl w:val="20D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76"/>
    <w:rsid w:val="00A35C72"/>
    <w:rsid w:val="00AA1176"/>
    <w:rsid w:val="00CD7245"/>
    <w:rsid w:val="00D4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DEDC5-6AAE-44ED-9865-84C8FF22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4285B"/>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285B"/>
    <w:rPr>
      <w:rFonts w:ascii="宋体" w:eastAsia="宋体" w:hAnsi="宋体" w:cs="宋体"/>
      <w:kern w:val="0"/>
      <w:sz w:val="18"/>
      <w:szCs w:val="18"/>
    </w:rPr>
  </w:style>
  <w:style w:type="character" w:styleId="a3">
    <w:name w:val="Hyperlink"/>
    <w:basedOn w:val="a0"/>
    <w:uiPriority w:val="99"/>
    <w:semiHidden/>
    <w:unhideWhenUsed/>
    <w:rsid w:val="00D4285B"/>
    <w:rPr>
      <w:strike w:val="0"/>
      <w:dstrike w:val="0"/>
      <w:color w:val="333333"/>
      <w:u w:val="none"/>
      <w:effect w:val="none"/>
    </w:rPr>
  </w:style>
  <w:style w:type="character" w:customStyle="1" w:styleId="bsharecount">
    <w:name w:val="bshare_count"/>
    <w:basedOn w:val="a0"/>
    <w:rsid w:val="00D4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7042">
      <w:bodyDiv w:val="1"/>
      <w:marLeft w:val="0"/>
      <w:marRight w:val="0"/>
      <w:marTop w:val="0"/>
      <w:marBottom w:val="0"/>
      <w:divBdr>
        <w:top w:val="none" w:sz="0" w:space="0" w:color="auto"/>
        <w:left w:val="none" w:sz="0" w:space="0" w:color="auto"/>
        <w:bottom w:val="none" w:sz="0" w:space="0" w:color="auto"/>
        <w:right w:val="none" w:sz="0" w:space="0" w:color="auto"/>
      </w:divBdr>
      <w:divsChild>
        <w:div w:id="1430153504">
          <w:marLeft w:val="0"/>
          <w:marRight w:val="0"/>
          <w:marTop w:val="0"/>
          <w:marBottom w:val="750"/>
          <w:divBdr>
            <w:top w:val="none" w:sz="0" w:space="0" w:color="auto"/>
            <w:left w:val="none" w:sz="0" w:space="0" w:color="auto"/>
            <w:bottom w:val="none" w:sz="0" w:space="0" w:color="auto"/>
            <w:right w:val="none" w:sz="0" w:space="0" w:color="auto"/>
          </w:divBdr>
          <w:divsChild>
            <w:div w:id="413286056">
              <w:marLeft w:val="0"/>
              <w:marRight w:val="0"/>
              <w:marTop w:val="0"/>
              <w:marBottom w:val="0"/>
              <w:divBdr>
                <w:top w:val="none" w:sz="0" w:space="0" w:color="auto"/>
                <w:left w:val="none" w:sz="0" w:space="0" w:color="auto"/>
                <w:bottom w:val="none" w:sz="0" w:space="0" w:color="auto"/>
                <w:right w:val="none" w:sz="0" w:space="0" w:color="auto"/>
              </w:divBdr>
              <w:divsChild>
                <w:div w:id="79572232">
                  <w:marLeft w:val="0"/>
                  <w:marRight w:val="0"/>
                  <w:marTop w:val="0"/>
                  <w:marBottom w:val="750"/>
                  <w:divBdr>
                    <w:top w:val="none" w:sz="0" w:space="0" w:color="auto"/>
                    <w:left w:val="none" w:sz="0" w:space="0" w:color="auto"/>
                    <w:bottom w:val="single" w:sz="6" w:space="15" w:color="EAEAEA"/>
                    <w:right w:val="none" w:sz="0" w:space="0" w:color="auto"/>
                  </w:divBdr>
                  <w:divsChild>
                    <w:div w:id="1932591474">
                      <w:marLeft w:val="0"/>
                      <w:marRight w:val="0"/>
                      <w:marTop w:val="0"/>
                      <w:marBottom w:val="0"/>
                      <w:divBdr>
                        <w:top w:val="none" w:sz="0" w:space="0" w:color="auto"/>
                        <w:left w:val="none" w:sz="0" w:space="0" w:color="auto"/>
                        <w:bottom w:val="none" w:sz="0" w:space="0" w:color="auto"/>
                        <w:right w:val="none" w:sz="0" w:space="0" w:color="auto"/>
                      </w:divBdr>
                      <w:divsChild>
                        <w:div w:id="955525879">
                          <w:marLeft w:val="0"/>
                          <w:marRight w:val="0"/>
                          <w:marTop w:val="0"/>
                          <w:marBottom w:val="0"/>
                          <w:divBdr>
                            <w:top w:val="none" w:sz="0" w:space="0" w:color="auto"/>
                            <w:left w:val="none" w:sz="0" w:space="0" w:color="auto"/>
                            <w:bottom w:val="single" w:sz="6" w:space="9" w:color="DDDDDD"/>
                            <w:right w:val="none" w:sz="0" w:space="0" w:color="auto"/>
                          </w:divBdr>
                        </w:div>
                        <w:div w:id="15887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7706">
                  <w:marLeft w:val="0"/>
                  <w:marRight w:val="0"/>
                  <w:marTop w:val="0"/>
                  <w:marBottom w:val="0"/>
                  <w:divBdr>
                    <w:top w:val="none" w:sz="0" w:space="0" w:color="auto"/>
                    <w:left w:val="none" w:sz="0" w:space="0" w:color="auto"/>
                    <w:bottom w:val="none" w:sz="0" w:space="0" w:color="auto"/>
                    <w:right w:val="none" w:sz="0" w:space="0" w:color="auto"/>
                  </w:divBdr>
                  <w:divsChild>
                    <w:div w:id="394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2018-05-24T08:07:00Z</dcterms:created>
  <dcterms:modified xsi:type="dcterms:W3CDTF">2018-05-24T08:07:00Z</dcterms:modified>
</cp:coreProperties>
</file>