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E3194" w14:textId="77777777" w:rsidR="00183AFD" w:rsidRPr="00183AFD" w:rsidRDefault="00183AFD" w:rsidP="00183AFD">
      <w:pPr>
        <w:widowControl/>
        <w:shd w:val="clear" w:color="auto" w:fill="FFFFFF"/>
        <w:spacing w:line="450" w:lineRule="atLeast"/>
        <w:jc w:val="center"/>
        <w:rPr>
          <w:rFonts w:ascii="宋体" w:eastAsia="宋体" w:hAnsi="宋体" w:cs="Times New Roman"/>
          <w:color w:val="333333"/>
          <w:kern w:val="0"/>
          <w:sz w:val="18"/>
          <w:szCs w:val="18"/>
        </w:rPr>
      </w:pPr>
      <w:r w:rsidRPr="00183AFD">
        <w:rPr>
          <w:rFonts w:ascii="仿宋_GB2312" w:eastAsia="仿宋_GB2312" w:hAnsi="宋体" w:cs="Times New Roman" w:hint="eastAsia"/>
          <w:color w:val="333333"/>
          <w:kern w:val="0"/>
          <w:sz w:val="32"/>
          <w:szCs w:val="32"/>
        </w:rPr>
        <w:t>泉洛政文〔2017〕121号</w:t>
      </w:r>
    </w:p>
    <w:p w14:paraId="4B40E889" w14:textId="77777777" w:rsidR="00183AFD" w:rsidRPr="00183AFD" w:rsidRDefault="00183AFD" w:rsidP="00183AFD">
      <w:pPr>
        <w:widowControl/>
        <w:shd w:val="clear" w:color="auto" w:fill="FFFFFF"/>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1425ADA8" w14:textId="77777777" w:rsidR="00183AFD" w:rsidRPr="00183AFD" w:rsidRDefault="00183AFD" w:rsidP="00183AFD">
      <w:pPr>
        <w:widowControl/>
        <w:shd w:val="clear" w:color="auto" w:fill="FFFFFF"/>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0483D05D" w14:textId="77777777" w:rsidR="00183AFD" w:rsidRPr="00183AFD" w:rsidRDefault="00183AFD" w:rsidP="00183AFD">
      <w:pPr>
        <w:widowControl/>
        <w:shd w:val="clear" w:color="auto" w:fill="FFFFFF"/>
        <w:spacing w:line="450" w:lineRule="atLeast"/>
        <w:jc w:val="center"/>
        <w:rPr>
          <w:rFonts w:ascii="宋体" w:eastAsia="宋体" w:hAnsi="宋体" w:cs="Times New Roman" w:hint="eastAsia"/>
          <w:color w:val="333333"/>
          <w:kern w:val="0"/>
          <w:sz w:val="18"/>
          <w:szCs w:val="18"/>
        </w:rPr>
      </w:pPr>
      <w:r w:rsidRPr="00183AFD">
        <w:rPr>
          <w:rFonts w:ascii="MS Mincho" w:eastAsia="MS Mincho" w:hAnsi="MS Mincho" w:cs="MS Mincho"/>
          <w:color w:val="333333"/>
          <w:kern w:val="0"/>
          <w:sz w:val="44"/>
          <w:szCs w:val="44"/>
        </w:rPr>
        <w:t>泉州市洛江区人民政府</w:t>
      </w:r>
      <w:bookmarkStart w:id="0" w:name="_GoBack"/>
      <w:r w:rsidRPr="00183AFD">
        <w:rPr>
          <w:rFonts w:ascii="MS Mincho" w:eastAsia="MS Mincho" w:hAnsi="MS Mincho" w:cs="MS Mincho"/>
          <w:color w:val="333333"/>
          <w:kern w:val="0"/>
          <w:sz w:val="44"/>
          <w:szCs w:val="44"/>
        </w:rPr>
        <w:t>关于</w:t>
      </w:r>
      <w:r w:rsidRPr="00183AFD">
        <w:rPr>
          <w:rFonts w:ascii="SimSun" w:eastAsia="SimSun" w:hAnsi="SimSun" w:cs="SimSun"/>
          <w:color w:val="333333"/>
          <w:kern w:val="0"/>
          <w:sz w:val="44"/>
          <w:szCs w:val="44"/>
        </w:rPr>
        <w:t>进</w:t>
      </w:r>
      <w:r w:rsidRPr="00183AFD">
        <w:rPr>
          <w:rFonts w:ascii="MS Mincho" w:eastAsia="MS Mincho" w:hAnsi="MS Mincho" w:cs="MS Mincho"/>
          <w:color w:val="333333"/>
          <w:kern w:val="0"/>
          <w:sz w:val="44"/>
          <w:szCs w:val="44"/>
        </w:rPr>
        <w:t>一步</w:t>
      </w:r>
    </w:p>
    <w:p w14:paraId="4FDD3A74" w14:textId="77777777" w:rsidR="00183AFD" w:rsidRPr="00183AFD" w:rsidRDefault="00183AFD" w:rsidP="00183AFD">
      <w:pPr>
        <w:widowControl/>
        <w:shd w:val="clear" w:color="auto" w:fill="FFFFFF"/>
        <w:spacing w:line="450" w:lineRule="atLeast"/>
        <w:jc w:val="center"/>
        <w:rPr>
          <w:rFonts w:ascii="宋体" w:eastAsia="宋体" w:hAnsi="宋体" w:cs="Times New Roman" w:hint="eastAsia"/>
          <w:color w:val="333333"/>
          <w:kern w:val="0"/>
          <w:sz w:val="18"/>
          <w:szCs w:val="18"/>
        </w:rPr>
      </w:pPr>
      <w:r w:rsidRPr="00183AFD">
        <w:rPr>
          <w:rFonts w:ascii="MS Mincho" w:eastAsia="MS Mincho" w:hAnsi="MS Mincho" w:cs="MS Mincho"/>
          <w:color w:val="333333"/>
          <w:kern w:val="0"/>
          <w:sz w:val="44"/>
          <w:szCs w:val="44"/>
        </w:rPr>
        <w:t>推</w:t>
      </w:r>
      <w:r w:rsidRPr="00183AFD">
        <w:rPr>
          <w:rFonts w:ascii="SimSun" w:eastAsia="SimSun" w:hAnsi="SimSun" w:cs="SimSun"/>
          <w:color w:val="333333"/>
          <w:kern w:val="0"/>
          <w:sz w:val="44"/>
          <w:szCs w:val="44"/>
        </w:rPr>
        <w:t>进</w:t>
      </w:r>
      <w:r w:rsidRPr="00183AFD">
        <w:rPr>
          <w:rFonts w:ascii="MS Mincho" w:eastAsia="MS Mincho" w:hAnsi="MS Mincho" w:cs="MS Mincho"/>
          <w:color w:val="333333"/>
          <w:kern w:val="0"/>
          <w:sz w:val="44"/>
          <w:szCs w:val="44"/>
        </w:rPr>
        <w:t>企</w:t>
      </w:r>
      <w:r w:rsidRPr="00183AFD">
        <w:rPr>
          <w:rFonts w:ascii="SimSun" w:eastAsia="SimSun" w:hAnsi="SimSun" w:cs="SimSun"/>
          <w:color w:val="333333"/>
          <w:kern w:val="0"/>
          <w:sz w:val="44"/>
          <w:szCs w:val="44"/>
        </w:rPr>
        <w:t>业</w:t>
      </w:r>
      <w:r w:rsidRPr="00183AFD">
        <w:rPr>
          <w:rFonts w:ascii="MS Mincho" w:eastAsia="MS Mincho" w:hAnsi="MS Mincho" w:cs="MS Mincho"/>
          <w:color w:val="333333"/>
          <w:kern w:val="0"/>
          <w:sz w:val="44"/>
          <w:szCs w:val="44"/>
        </w:rPr>
        <w:t>挂牌上市工作的若干意</w:t>
      </w:r>
      <w:r w:rsidRPr="00183AFD">
        <w:rPr>
          <w:rFonts w:ascii="SimSun" w:eastAsia="SimSun" w:hAnsi="SimSun" w:cs="SimSun"/>
          <w:color w:val="333333"/>
          <w:kern w:val="0"/>
          <w:sz w:val="44"/>
          <w:szCs w:val="44"/>
        </w:rPr>
        <w:t>见</w:t>
      </w:r>
      <w:r w:rsidRPr="00183AFD">
        <w:rPr>
          <w:rFonts w:ascii="MS Mincho" w:eastAsia="MS Mincho" w:hAnsi="MS Mincho" w:cs="MS Mincho"/>
          <w:color w:val="333333"/>
          <w:kern w:val="0"/>
          <w:sz w:val="44"/>
          <w:szCs w:val="44"/>
        </w:rPr>
        <w:t>（</w:t>
      </w:r>
      <w:r w:rsidRPr="00183AFD">
        <w:rPr>
          <w:rFonts w:ascii="SimSun" w:eastAsia="SimSun" w:hAnsi="SimSun" w:cs="SimSun"/>
          <w:color w:val="333333"/>
          <w:kern w:val="0"/>
          <w:sz w:val="44"/>
          <w:szCs w:val="44"/>
        </w:rPr>
        <w:t>试</w:t>
      </w:r>
      <w:r w:rsidRPr="00183AFD">
        <w:rPr>
          <w:rFonts w:ascii="MS Mincho" w:eastAsia="MS Mincho" w:hAnsi="MS Mincho" w:cs="MS Mincho"/>
          <w:color w:val="333333"/>
          <w:kern w:val="0"/>
          <w:sz w:val="44"/>
          <w:szCs w:val="44"/>
        </w:rPr>
        <w:t>行）</w:t>
      </w:r>
      <w:bookmarkEnd w:id="0"/>
    </w:p>
    <w:p w14:paraId="75185698"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宋体" w:eastAsia="宋体" w:hAnsi="宋体" w:cs="Times New Roman" w:hint="eastAsia"/>
          <w:b/>
          <w:bCs/>
          <w:color w:val="333333"/>
          <w:kern w:val="0"/>
          <w:sz w:val="36"/>
          <w:szCs w:val="36"/>
        </w:rPr>
        <w:t> </w:t>
      </w:r>
    </w:p>
    <w:p w14:paraId="41BEF8FC"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各镇（乡）人民政府、街道办事处，区直有关单位：</w:t>
      </w:r>
    </w:p>
    <w:p w14:paraId="5662A773"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为贯彻落实《国务院关于进一步促进资本市场健康发展的若干意见》（国发〔2014〕17号）和中国人民银行等十二部委《关于印发福建省泉州市金融服务实体经济综合改革试验区总体方案的通知》（银发〔2012〕283号）等文件精神，进一步提高资本市场服务实体经济的能力，加快企业挂牌上市步伐，扩大直接融资规模，促进我区经济转型升级，根据《泉州市人民政府关于进一步推进企业挂牌上市工作的若干意见》（泉政文〔2017〕82号），结合我区实际情况，制定以下实施意见：</w:t>
      </w:r>
    </w:p>
    <w:p w14:paraId="21BEC0B2"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一、建立挂牌上市后备资源库</w:t>
      </w:r>
    </w:p>
    <w:p w14:paraId="2DF31EF1"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从我区产业发展实际情况出发，综合考虑企业规模实力、挂牌上市意愿和发展潜力，按照“培育一批、改制一批、辅导一批、申报一批、挂牌上市一批”的工作思路，建立挂牌后备企业资源库和上市后备企业资源库。资源库</w:t>
      </w:r>
      <w:r w:rsidRPr="00183AFD">
        <w:rPr>
          <w:rFonts w:ascii="仿宋_GB2312" w:eastAsia="仿宋_GB2312" w:hAnsi="宋体" w:cs="Times New Roman" w:hint="eastAsia"/>
          <w:color w:val="333333"/>
          <w:kern w:val="0"/>
          <w:sz w:val="32"/>
          <w:szCs w:val="32"/>
        </w:rPr>
        <w:lastRenderedPageBreak/>
        <w:t>实行滚动管理，一年调整一次。列入挂牌后备企业资源库和上市后备企业资源库的企业应按照《公司法》规定登记注册为股份有限公司或有限公司，其生产经营主业符合各级产业政策，成长性高、发展前景好，公司治理结构健全、运作规范，最近三年未发现违法或重大违规行为。</w:t>
      </w:r>
    </w:p>
    <w:p w14:paraId="62F6D8D1"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1.若上市后备企业、挂牌后备企业达不到相应条件，取消其上市后备企业、挂牌后备企业资格，相关的优惠政策不再享受。</w:t>
      </w:r>
    </w:p>
    <w:p w14:paraId="32E8BEE4"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2.申请新增加为上市后备企业、挂牌后备企业的，按要求填写《挂牌上市后备企业申请表》（详见附件），上报区企业上市工作领导小组确认后享受相关的优惠政策。</w:t>
      </w:r>
    </w:p>
    <w:p w14:paraId="25EFF910"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3.省、市级筛选确定的当年度我区上市后备企业、挂牌后备企业视同当年度区级上市后备企业、挂牌后备企业进行培育管理。</w:t>
      </w:r>
    </w:p>
    <w:p w14:paraId="02329230"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4．海峡股权泉州交易中心挂牌展示企业符合条件的，优先列入区级上市后备企业、挂牌后备企业。</w:t>
      </w:r>
    </w:p>
    <w:p w14:paraId="691EF7D4"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二、申请条件及程序    </w:t>
      </w:r>
    </w:p>
    <w:p w14:paraId="6416694A"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楷体_GB2312" w:eastAsia="楷体_GB2312" w:hAnsi="宋体" w:cs="Times New Roman" w:hint="eastAsia"/>
          <w:b/>
          <w:bCs/>
          <w:color w:val="333333"/>
          <w:kern w:val="0"/>
          <w:sz w:val="32"/>
          <w:szCs w:val="32"/>
        </w:rPr>
        <w:t>1.列入上市后备企业资源库的企业还需满足以下条件之一：</w:t>
      </w:r>
      <w:r w:rsidRPr="00183AFD">
        <w:rPr>
          <w:rFonts w:ascii="仿宋_GB2312" w:eastAsia="仿宋_GB2312" w:hAnsi="宋体" w:cs="Times New Roman" w:hint="eastAsia"/>
          <w:color w:val="333333"/>
          <w:kern w:val="0"/>
          <w:sz w:val="32"/>
          <w:szCs w:val="32"/>
        </w:rPr>
        <w:t>①注册资本3000万元以上，前三年度净利润累计3000万元以上或上年度纳税额500万元以上；②最近两年净利润累计1000万元以上或者最近一年盈利 500 万元以上、最近一年营业收入5000万元以上，且拟在创业板上市的创新型、成长型企业;③工业企业为我区规模以上工业企业。</w:t>
      </w:r>
    </w:p>
    <w:p w14:paraId="4AD23498"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楷体_GB2312" w:eastAsia="楷体_GB2312" w:hAnsi="宋体" w:cs="Times New Roman" w:hint="eastAsia"/>
          <w:b/>
          <w:bCs/>
          <w:color w:val="333333"/>
          <w:kern w:val="0"/>
          <w:sz w:val="32"/>
          <w:szCs w:val="32"/>
        </w:rPr>
        <w:t>2.列入挂牌后备企业资源库的企业还需满足以下条件之一：</w:t>
      </w:r>
      <w:r w:rsidRPr="00183AFD">
        <w:rPr>
          <w:rFonts w:ascii="仿宋_GB2312" w:eastAsia="仿宋_GB2312" w:hAnsi="宋体" w:cs="Times New Roman" w:hint="eastAsia"/>
          <w:color w:val="333333"/>
          <w:kern w:val="0"/>
          <w:sz w:val="32"/>
          <w:szCs w:val="32"/>
        </w:rPr>
        <w:t>①最近一年净利润300万元以上或纳税总额200万元以上；②被认定为高新技术企业或市级以上农业产业龙头企业；③工业企业为我区规模以上工业企业。</w:t>
      </w:r>
    </w:p>
    <w:p w14:paraId="7D387698"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r w:rsidRPr="00183AFD">
        <w:rPr>
          <w:rFonts w:ascii="楷体_GB2312" w:eastAsia="楷体_GB2312" w:hAnsi="宋体" w:cs="Times New Roman" w:hint="eastAsia"/>
          <w:b/>
          <w:bCs/>
          <w:color w:val="333333"/>
          <w:kern w:val="0"/>
          <w:sz w:val="32"/>
          <w:szCs w:val="32"/>
        </w:rPr>
        <w:t>3.申报程序：</w:t>
      </w:r>
      <w:r w:rsidRPr="00183AFD">
        <w:rPr>
          <w:rFonts w:ascii="仿宋_GB2312" w:eastAsia="仿宋_GB2312" w:hAnsi="宋体" w:cs="Times New Roman" w:hint="eastAsia"/>
          <w:color w:val="333333"/>
          <w:kern w:val="0"/>
          <w:sz w:val="32"/>
          <w:szCs w:val="32"/>
        </w:rPr>
        <w:t>企业提出申请，经企业所在乡镇（街道）初审、推荐，报区上市办审核后报区政府审定确认。</w:t>
      </w:r>
    </w:p>
    <w:p w14:paraId="7A2A9B14"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三、加大政策扶持力度</w:t>
      </w:r>
    </w:p>
    <w:p w14:paraId="4F8C43D4"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区政府从“扶持企业发展专项资金”中用于扶持企业挂牌上市，具体由财政在年度预算中安排，数额根据各年度预期需求情况而定。</w:t>
      </w:r>
    </w:p>
    <w:p w14:paraId="5312F5B4"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（一）鼓励企业上市融资</w:t>
      </w:r>
    </w:p>
    <w:p w14:paraId="1968E47E"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1.对上市后备企业按规定改制设立股份有限公司、上市申报材料获中国证监会（上海、深圳证券交易所）受理并在境内成功上市首发股票，以招股说明书为依据，上市募集资金50%以上投入我区的，区政府给予奖励250万元。</w:t>
      </w:r>
    </w:p>
    <w:p w14:paraId="6812710A"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2.以招股说明书为依据，上市募集资金50%以上投入我区的，对我区首家在上海或深圳证券交易所上市的后备企业再给予100万元奖励，第二家再给予50万元奖励。</w:t>
      </w:r>
    </w:p>
    <w:p w14:paraId="26878079"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3.境外上市外资股的我区上市公司发行 A 股且募集资金50%投入我区的，区政府给予 100万元资金奖励。</w:t>
      </w:r>
    </w:p>
    <w:p w14:paraId="375874C1"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r w:rsidRPr="00183AFD">
        <w:rPr>
          <w:rFonts w:ascii="仿宋_GB2312" w:eastAsia="仿宋_GB2312" w:hAnsi="宋体" w:cs="Times New Roman" w:hint="eastAsia"/>
          <w:color w:val="333333"/>
          <w:kern w:val="0"/>
          <w:sz w:val="32"/>
          <w:szCs w:val="32"/>
        </w:rPr>
        <w:t>4.上市后备企业按相关法律法规异地“借壳”“买壳”上市后，将上市公司注册地迁至我区并承诺十年内不迁离的，区政府给予 200万元资金奖励。</w:t>
      </w:r>
    </w:p>
    <w:p w14:paraId="5783DEF0"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5.上市后备企业上报福建证监局辅导备案的前一年至企业上市之年（最长不超过3年），以上年度所缴企业所得税为基数，每年新增的企业所得税，在其税款全部缴纳后，区级留成部分全部奖励给企业。拟发行境外上市外资股的企业享受本项奖励的起始时间为取得中国证监会核准批复的前一年至企业上市当年（最长不超过 3 年）；以存在控制关系的境外公司境外上市的企业，享受本项奖励的起始时间为取得境外证券监管机构上市申请材料受理函的前一年至企业挂牌上市（最长不超过3年）。</w:t>
      </w:r>
    </w:p>
    <w:p w14:paraId="790C7A52"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6.境内上市公司通过配股、增发或发行优先股、可转换债券实现再融资的，按再融资募集资金部分实际投入我区1.5‰进行奖励，最高限额100万元。</w:t>
      </w:r>
    </w:p>
    <w:p w14:paraId="6EBD9386"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7.从企业上市后备到上市发行股票，累计奖励金最高限额不超过500万元。</w:t>
      </w:r>
    </w:p>
    <w:p w14:paraId="79D15FB5"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（二）鼓励企业挂牌融资</w:t>
      </w:r>
    </w:p>
    <w:p w14:paraId="70518F79"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r w:rsidRPr="00183AFD">
        <w:rPr>
          <w:rFonts w:ascii="仿宋_GB2312" w:eastAsia="仿宋_GB2312" w:hAnsi="宋体" w:cs="Times New Roman" w:hint="eastAsia"/>
          <w:color w:val="333333"/>
          <w:kern w:val="0"/>
          <w:sz w:val="32"/>
          <w:szCs w:val="32"/>
        </w:rPr>
        <w:t>1.挂牌后备企业在全国中小企业股份转让系统（简称“新三板”）挂牌的，区政府给予50万元资金奖励；在海峡股权泉州交易中心交易板挂牌的，区政府给予30万元资金奖励；在海峡股权泉州交易中心股改板挂牌的，区政府给予10万元资金奖励。</w:t>
      </w:r>
    </w:p>
    <w:p w14:paraId="03FA0461"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r w:rsidRPr="00183AFD">
        <w:rPr>
          <w:rFonts w:ascii="仿宋_GB2312" w:eastAsia="仿宋_GB2312" w:hAnsi="宋体" w:cs="Times New Roman" w:hint="eastAsia"/>
          <w:color w:val="333333"/>
          <w:kern w:val="0"/>
          <w:sz w:val="32"/>
          <w:szCs w:val="32"/>
        </w:rPr>
        <w:t>2.挂牌后备企业在“新三板”或海峡股权泉州交易中心交易板、股改板挂牌当年起，以上年度所缴企业所得税为基数，每年新增的企业所得税，区级留成部分按照50%奖励给企业，期限3年。</w:t>
      </w:r>
    </w:p>
    <w:p w14:paraId="2986B49D"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3.“新三板”和海峡股权泉州交易中心交易板、股改板挂牌企业成功发行股票、优先股、可转换债券融资的，区政府按实际募集资金投入我区部分的1%奖励给企业，奖励金额不超过 50 万元。</w:t>
      </w:r>
    </w:p>
    <w:p w14:paraId="2FCBA76E"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三）挂牌、上市后备企业在股份制改制时，因盈余公积金、未分配利润转增股本而缴纳的个人所得税或企业所得税，在其税款全部缴纳并成功上市后，区级留成部分全额奖励给纳税人；因土地、房产、设备评估增值或补入账而补缴的税收，在其税款全部缴纳并成功上市后，区级留成部分全额奖励给纳税人。</w:t>
      </w:r>
    </w:p>
    <w:p w14:paraId="32E2E9DF"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四）挂牌、上市后备企业因改制、重组、并购而涉及土地使用证、房产证或不动产证变更过户且实际控制人无发生变化的，经有关部门甄别认定后，可依法直接办理变更手续；因历史原因未办理土地使用证、房产证或不动产证且无争议的，其权证办理参照泉州市人民政府出台的相关文件规定执行；改制涉及的本级权限内收费项目一律按最低标准收取。</w:t>
      </w:r>
    </w:p>
    <w:p w14:paraId="4632F1B8"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（五）对企业兼并重组并在我区缴纳被兼并重组企业项目税收的，区级留成部分50%奖励给纳税人。</w:t>
      </w:r>
    </w:p>
    <w:p w14:paraId="2B6FF44A"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六）优先向国家、省、市推荐我区挂牌、上市公司和挂牌、上市后备企业申报各类科技计划（专项）、高新技术、技术创新企业；支持挂牌、上市公司和挂牌、上市后备企业向国家、省、市申报各类科技计划（专项）、高新技术产业项目配套资金、科技创新与研发资金、“6.18”科技成果转化专项资金等各类政策性扶持资金；鼓励洛江区产业股权投资基金及子基金优先投资挂牌、上市后备企业；鼓励挂牌、上市公司优先参与市政基础设施、社会事业等公共项目。</w:t>
      </w:r>
    </w:p>
    <w:p w14:paraId="00FB8990"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r w:rsidRPr="00183AFD">
        <w:rPr>
          <w:rFonts w:ascii="仿宋_GB2312" w:eastAsia="仿宋_GB2312" w:hAnsi="宋体" w:cs="Times New Roman" w:hint="eastAsia"/>
          <w:color w:val="333333"/>
          <w:kern w:val="0"/>
          <w:sz w:val="32"/>
          <w:szCs w:val="32"/>
        </w:rPr>
        <w:t>企业因挂牌、上市过程中弄虚作假、违法违规等被终止挂牌、上市审核或挂牌、上市后被勒令退市或“借壳”“买壳”上市后上市公司注册地迁至我区不满十年就迁离的，已经发放的奖励资金予以追回。</w:t>
      </w:r>
    </w:p>
    <w:p w14:paraId="4CD90226"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四、提高服务质量和效率</w:t>
      </w:r>
    </w:p>
    <w:p w14:paraId="3C34456C"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一）区直相关职能部门要在依法依规的前提下，及时为符合国家政策、法律法规的挂牌、上市后备企业办理行政审批或备案、行政许可手续，并按职能范围出具相关证明，给予“绿色通道”待遇，简化审批程序、特事特办、限时办结。</w:t>
      </w:r>
    </w:p>
    <w:p w14:paraId="3C580877"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（二）挂牌、上市后备企业在改制、挂牌上市过程中需要补办申请土地登记和房屋登记有关手续以及申请上市募集资金投资项目用地的，各职能部门要优先给予办理，限时办结。</w:t>
      </w:r>
    </w:p>
    <w:p w14:paraId="18499AF8"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r w:rsidRPr="00183AFD">
        <w:rPr>
          <w:rFonts w:ascii="仿宋_GB2312" w:eastAsia="仿宋_GB2312" w:hAnsi="宋体" w:cs="Times New Roman" w:hint="eastAsia"/>
          <w:color w:val="333333"/>
          <w:kern w:val="0"/>
          <w:sz w:val="32"/>
          <w:szCs w:val="32"/>
        </w:rPr>
        <w:t>（三）挂牌、上市后备企业在挂牌上市和挂牌、上市公司再融资过程中遇到的具体问题，由区政府召开专题协调会议予以解决。</w:t>
      </w:r>
    </w:p>
    <w:p w14:paraId="5ACAD87C"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r w:rsidRPr="00183AFD">
        <w:rPr>
          <w:rFonts w:ascii="仿宋_GB2312" w:eastAsia="仿宋_GB2312" w:hAnsi="宋体" w:cs="Times New Roman" w:hint="eastAsia"/>
          <w:color w:val="333333"/>
          <w:kern w:val="0"/>
          <w:sz w:val="32"/>
          <w:szCs w:val="32"/>
        </w:rPr>
        <w:t>（四）募集资金投资于我区的项目，符合国家、省、市、区产业政策导向的，纳入或者上报纳入省、市、区重点项目盘子，实行“一企一策”“一站式”跟踪服务。</w:t>
      </w:r>
    </w:p>
    <w:p w14:paraId="32DFF652"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r w:rsidRPr="00183AFD">
        <w:rPr>
          <w:rFonts w:ascii="仿宋_GB2312" w:eastAsia="仿宋_GB2312" w:hAnsi="宋体" w:cs="Times New Roman" w:hint="eastAsia"/>
          <w:color w:val="333333"/>
          <w:kern w:val="0"/>
          <w:sz w:val="32"/>
          <w:szCs w:val="32"/>
        </w:rPr>
        <w:t>（五）区政府对挂牌、上市后备企业申请各类财政性资金补助、项目用地指标和价格、高新技术企业认定等给予必要的政策扶持，同等条件下给予优先安排、推荐。</w:t>
      </w:r>
    </w:p>
    <w:p w14:paraId="54F9897F"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（六）鼓励银行业金融机构对挂牌、上市后备企业优先予以信贷支持。支持创业投资基金、股权投资基金、产业投资基金等机构在我区设立分支机构，参与我市挂牌、上市后备企业改制重组。</w:t>
      </w:r>
    </w:p>
    <w:p w14:paraId="041CA196"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（七）宣传部门要积极宣传报道企业挂牌上市的成功经验，挂牌上市前后的变化以及对地方经济社会发展的积极贡献等，引导更多企业提高对资本市场的认识，增强挂牌上市的信心和决心。</w:t>
      </w:r>
    </w:p>
    <w:p w14:paraId="596F9FCD"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八）各有关部门要做好挂牌、上市公司和挂牌、上市后备企业董事长、总经理、财务总监、董事会秘书等人员的培训工作。引进的高层次人才，在符合省、市、区人才政策的条件下，在职称评定、户籍迁移、人事关系办理、子女就学、住房安置等方面给予优先照顾。</w:t>
      </w:r>
    </w:p>
    <w:p w14:paraId="2A527109"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五、兑现程序及提供的证明材料</w:t>
      </w:r>
    </w:p>
    <w:p w14:paraId="37C73FE2"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楷体_GB2312" w:eastAsia="楷体_GB2312" w:hAnsi="宋体" w:cs="Times New Roman" w:hint="eastAsia"/>
          <w:b/>
          <w:bCs/>
          <w:color w:val="333333"/>
          <w:kern w:val="0"/>
          <w:sz w:val="32"/>
          <w:szCs w:val="32"/>
        </w:rPr>
        <w:t>（一）兑现程序</w:t>
      </w:r>
    </w:p>
    <w:p w14:paraId="71EAA43B"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1.企业提供相关证明材料，经所在乡镇（街道）盖章证明，向区上市办提出书面申请；</w:t>
      </w:r>
    </w:p>
    <w:p w14:paraId="51AB512F"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2.区上市办会同区财政局等区直有关单位提出办理意见报区企业上市工作领导小组审批；</w:t>
      </w:r>
    </w:p>
    <w:p w14:paraId="34566BB1"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3.区企业上市工作领导小组审批后，区上市办会同区财政局下达奖励资金。</w:t>
      </w:r>
    </w:p>
    <w:p w14:paraId="726E2330"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楷体_GB2312" w:eastAsia="楷体_GB2312" w:hAnsi="宋体" w:cs="Times New Roman" w:hint="eastAsia"/>
          <w:b/>
          <w:bCs/>
          <w:color w:val="333333"/>
          <w:kern w:val="0"/>
          <w:sz w:val="32"/>
          <w:szCs w:val="32"/>
        </w:rPr>
        <w:t>（二）证明材料</w:t>
      </w:r>
    </w:p>
    <w:p w14:paraId="0648E9FE"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1.申请成功上市奖励：企业与证券中介签订的协议、股份制企业营业执照复印件、验资报告、证券监管机构受理函、股票交易许可证明、税务部门出具的纳税证明、财务审计报告等。</w:t>
      </w:r>
    </w:p>
    <w:p w14:paraId="36456AFF"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2.申请再融资奖励：再融资申请受理函、融资许可证明、融资额证明材料等。</w:t>
      </w:r>
    </w:p>
    <w:p w14:paraId="20269B8B"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3.申请税费优惠：企业与证券中介签订的协议、企业营业执照复印件、相关部门按优惠政策核定的标准和期限证明。</w:t>
      </w:r>
    </w:p>
    <w:p w14:paraId="0429F459"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4.区上市办要求的相关证明材料。</w:t>
      </w:r>
    </w:p>
    <w:p w14:paraId="588FAD6F"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六、加强组织领导</w:t>
      </w:r>
    </w:p>
    <w:p w14:paraId="1AFD5085"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楷体_GB2312" w:eastAsia="楷体_GB2312" w:hAnsi="宋体" w:cs="Times New Roman" w:hint="eastAsia"/>
          <w:b/>
          <w:bCs/>
          <w:color w:val="333333"/>
          <w:kern w:val="0"/>
          <w:sz w:val="32"/>
          <w:szCs w:val="32"/>
        </w:rPr>
        <w:t>    </w:t>
      </w:r>
      <w:r w:rsidRPr="00183AFD">
        <w:rPr>
          <w:rFonts w:ascii="楷体_GB2312" w:eastAsia="楷体_GB2312" w:hAnsi="宋体" w:cs="Times New Roman" w:hint="eastAsia"/>
          <w:b/>
          <w:bCs/>
          <w:color w:val="333333"/>
          <w:kern w:val="0"/>
          <w:sz w:val="32"/>
          <w:szCs w:val="32"/>
        </w:rPr>
        <w:t>1.健全工作机构。</w:t>
      </w:r>
      <w:r w:rsidRPr="00183AFD">
        <w:rPr>
          <w:rFonts w:ascii="仿宋_GB2312" w:eastAsia="仿宋_GB2312" w:hAnsi="宋体" w:cs="Times New Roman" w:hint="eastAsia"/>
          <w:color w:val="333333"/>
          <w:kern w:val="0"/>
          <w:sz w:val="32"/>
          <w:szCs w:val="32"/>
        </w:rPr>
        <w:t>调整充实区企业挂牌上市工作领导小组，负责统筹协调全区企业挂牌上市工作，由区政府主要领导任组长，区直有关部门和各乡镇人民政府（街道办事处）主要领导为成员。区直成员单位要明确负责企业挂牌上市工作的职能股（科）室并指定一名联络员。</w:t>
      </w:r>
    </w:p>
    <w:p w14:paraId="0306C5F4"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r w:rsidRPr="00183AFD">
        <w:rPr>
          <w:rFonts w:ascii="楷体_GB2312" w:eastAsia="楷体_GB2312" w:hAnsi="宋体" w:cs="Times New Roman" w:hint="eastAsia"/>
          <w:b/>
          <w:bCs/>
          <w:color w:val="333333"/>
          <w:kern w:val="0"/>
          <w:sz w:val="32"/>
          <w:szCs w:val="32"/>
        </w:rPr>
        <w:t>2.建立企业挂牌上市工作联席会议制度。</w:t>
      </w:r>
      <w:r w:rsidRPr="00183AFD">
        <w:rPr>
          <w:rFonts w:ascii="仿宋_GB2312" w:eastAsia="仿宋_GB2312" w:hAnsi="宋体" w:cs="Times New Roman" w:hint="eastAsia"/>
          <w:color w:val="333333"/>
          <w:kern w:val="0"/>
          <w:sz w:val="32"/>
          <w:szCs w:val="32"/>
        </w:rPr>
        <w:t>定期召开企业挂牌上市工作联席会议，研究解决企业挂牌上市和挂牌、上市公司再融资过程中遇到的困难和问题，并形成专题会议纪要，相关职能部门应及时给予办理，区上市办负责跟踪落实。</w:t>
      </w:r>
    </w:p>
    <w:p w14:paraId="35E4C7A1"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r w:rsidRPr="00183AFD">
        <w:rPr>
          <w:rFonts w:ascii="楷体_GB2312" w:eastAsia="楷体_GB2312" w:hAnsi="宋体" w:cs="Times New Roman" w:hint="eastAsia"/>
          <w:b/>
          <w:bCs/>
          <w:color w:val="333333"/>
          <w:kern w:val="0"/>
          <w:sz w:val="32"/>
          <w:szCs w:val="32"/>
        </w:rPr>
        <w:t>3.建立信息互通制度。</w:t>
      </w:r>
      <w:r w:rsidRPr="00183AFD">
        <w:rPr>
          <w:rFonts w:ascii="仿宋_GB2312" w:eastAsia="仿宋_GB2312" w:hAnsi="宋体" w:cs="Times New Roman" w:hint="eastAsia"/>
          <w:color w:val="333333"/>
          <w:kern w:val="0"/>
          <w:sz w:val="32"/>
          <w:szCs w:val="32"/>
        </w:rPr>
        <w:t>各乡镇（街道）要主动服务，确定专人定期了解企业改制、挂牌上市进度，并及时向区上市办反馈。区上市办定期将挂牌、上市后备企业及企业挂牌上市情况反馈区直有关部门，进一步加强部门之间的联络互通，形成工作合力。</w:t>
      </w:r>
    </w:p>
    <w:p w14:paraId="24CB48DA"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楷体_GB2312" w:eastAsia="楷体_GB2312" w:hAnsi="宋体" w:cs="Times New Roman" w:hint="eastAsia"/>
          <w:b/>
          <w:bCs/>
          <w:color w:val="333333"/>
          <w:kern w:val="0"/>
          <w:sz w:val="32"/>
          <w:szCs w:val="32"/>
        </w:rPr>
        <w:t>4.建立证券公司报备制度。</w:t>
      </w:r>
      <w:r w:rsidRPr="00183AFD">
        <w:rPr>
          <w:rFonts w:ascii="仿宋_GB2312" w:eastAsia="仿宋_GB2312" w:hAnsi="宋体" w:cs="Times New Roman" w:hint="eastAsia"/>
          <w:color w:val="333333"/>
          <w:kern w:val="0"/>
          <w:sz w:val="32"/>
          <w:szCs w:val="32"/>
        </w:rPr>
        <w:t>引导、支持证券公司来我区设立区域总部、分支机构，参与我区企业挂牌、上市工作。在我区从事证券承销保荐业务的证券公司，应与区上市办建立日常沟通联系机制，及时向区上市办通报在我区开展业务的情况并提出企业挂牌上市过程中需由区政府及有关部门协调解决的事项。区上市办要做好证券公司在我区执业情况的跟踪、记录和评价工作，对于表现突出的证券公司，优先向后备企业推荐合作。</w:t>
      </w:r>
    </w:p>
    <w:p w14:paraId="25B6AA1D"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七、其他事项</w:t>
      </w:r>
    </w:p>
    <w:p w14:paraId="6BA8E8FC" w14:textId="77777777" w:rsidR="00183AFD" w:rsidRPr="00183AFD" w:rsidRDefault="00183AFD" w:rsidP="00183AFD">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1.企业申请财税奖励所提供的资料必须真实、完整，如有弄虚作假骗取、套取政策资金等违法违规行为的，区政府有权依法依规取消其享受政策性资金资格，追回骗取、套取的政策资金，并限制2年内不得申请相关政策优惠奖励。</w:t>
      </w:r>
    </w:p>
    <w:p w14:paraId="49FEEC34"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r w:rsidRPr="00183AFD">
        <w:rPr>
          <w:rFonts w:ascii="仿宋_GB2312" w:eastAsia="仿宋_GB2312" w:hAnsi="宋体" w:cs="Times New Roman" w:hint="eastAsia"/>
          <w:color w:val="333333"/>
          <w:kern w:val="0"/>
          <w:sz w:val="32"/>
          <w:szCs w:val="32"/>
        </w:rPr>
        <w:t>2.上市后备企业在“新三板”和海峡股权泉州交易中心交易板、股改板挂牌的，参照本意见挂牌后备企业的奖励扶持政策执行。</w:t>
      </w:r>
    </w:p>
    <w:p w14:paraId="53B86D04"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3.挂牌企业转板到境内外上市或转板到“新三板”挂牌的，海峡股权泉州交易中心股改板挂牌企业转板海峡股权泉州交易中心交易板挂牌的，参照挂牌、上市后备企业享受本意见扶持政策，但应扣除其之前享受的政策奖励重叠部分。</w:t>
      </w:r>
    </w:p>
    <w:p w14:paraId="653B2265"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4.本意见由区经信局负责解释。</w:t>
      </w:r>
    </w:p>
    <w:p w14:paraId="28A364C5"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5.同一企业每年累计享受的各类本级补助、奖励资金总额以该企业当年缴纳税收“营改增”前区级财政留成部分为上限。</w:t>
      </w:r>
    </w:p>
    <w:p w14:paraId="1F5D9882"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6.本意见自2017年12月19日起实行，2017年11月20日至2017年12月19日企业挂牌上市奖励参照本意见执行，《泉州市洛江区人民政府关于推进企业改制上市的意见》（泉洛政文〔2014〕53 号）和《泉州市洛江区人民政府关于推动非上市企业进入场外市场挂牌融资工作的若干意见》（泉洛政文〔2015〕38号）同时废止。</w:t>
      </w:r>
    </w:p>
    <w:p w14:paraId="64B07CE1"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61B3B2C8" w14:textId="77777777" w:rsidR="00183AFD" w:rsidRPr="00183AFD" w:rsidRDefault="00183AFD" w:rsidP="00183AFD">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附件：挂牌上市后备企业申请表</w:t>
      </w:r>
    </w:p>
    <w:p w14:paraId="45DE83D7"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04749923"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082398E1"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58AC95F3" w14:textId="77777777" w:rsidR="00183AFD" w:rsidRPr="00183AFD" w:rsidRDefault="00183AFD" w:rsidP="00183AFD">
      <w:pPr>
        <w:widowControl/>
        <w:shd w:val="clear" w:color="auto" w:fill="FFFFFF"/>
        <w:spacing w:line="450" w:lineRule="atLeast"/>
        <w:jc w:val="righ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r w:rsidRPr="00183AFD">
        <w:rPr>
          <w:rFonts w:ascii="仿宋_GB2312" w:eastAsia="仿宋_GB2312" w:hAnsi="宋体" w:cs="Times New Roman" w:hint="eastAsia"/>
          <w:color w:val="333333"/>
          <w:kern w:val="0"/>
          <w:sz w:val="32"/>
          <w:szCs w:val="32"/>
        </w:rPr>
        <w:t>泉州市洛江区人民政府</w:t>
      </w:r>
    </w:p>
    <w:p w14:paraId="70017D8A" w14:textId="77777777" w:rsidR="00183AFD" w:rsidRPr="00183AFD" w:rsidRDefault="00183AFD" w:rsidP="00183AFD">
      <w:pPr>
        <w:widowControl/>
        <w:shd w:val="clear" w:color="auto" w:fill="FFFFFF"/>
        <w:spacing w:line="450" w:lineRule="atLeast"/>
        <w:ind w:firstLine="5120"/>
        <w:jc w:val="righ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xml:space="preserve">2017年11月20日 </w:t>
      </w:r>
      <w:r w:rsidRPr="00183AFD">
        <w:rPr>
          <w:rFonts w:ascii="仿宋_GB2312" w:eastAsia="仿宋_GB2312" w:hAnsi="宋体" w:cs="Times New Roman" w:hint="eastAsia"/>
          <w:color w:val="333333"/>
          <w:kern w:val="0"/>
          <w:sz w:val="32"/>
          <w:szCs w:val="32"/>
        </w:rPr>
        <w:t> </w:t>
      </w:r>
    </w:p>
    <w:p w14:paraId="043A176A"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43A0EFC9"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101BC74B"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 </w:t>
      </w:r>
    </w:p>
    <w:p w14:paraId="14B9307C"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 </w:t>
      </w:r>
    </w:p>
    <w:p w14:paraId="1F85CD48"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 </w:t>
      </w:r>
    </w:p>
    <w:p w14:paraId="6B20FA87"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 </w:t>
      </w:r>
    </w:p>
    <w:p w14:paraId="6B37EFCC"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 </w:t>
      </w:r>
    </w:p>
    <w:p w14:paraId="5BF74E88"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 </w:t>
      </w:r>
    </w:p>
    <w:p w14:paraId="398CA720"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 </w:t>
      </w:r>
    </w:p>
    <w:p w14:paraId="63F449CB"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 </w:t>
      </w:r>
    </w:p>
    <w:p w14:paraId="2DBFE26A"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 </w:t>
      </w:r>
    </w:p>
    <w:p w14:paraId="355DC50A"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 </w:t>
      </w:r>
    </w:p>
    <w:p w14:paraId="695CE3E0"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 </w:t>
      </w:r>
    </w:p>
    <w:p w14:paraId="2B9F0103"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黑体" w:eastAsia="黑体" w:hAnsi="黑体" w:cs="Times New Roman" w:hint="eastAsia"/>
          <w:color w:val="333333"/>
          <w:kern w:val="0"/>
          <w:sz w:val="32"/>
          <w:szCs w:val="32"/>
        </w:rPr>
        <w:t>附件</w:t>
      </w:r>
    </w:p>
    <w:p w14:paraId="0DF69481" w14:textId="77777777" w:rsidR="00183AFD" w:rsidRPr="00183AFD" w:rsidRDefault="00183AFD" w:rsidP="00183AFD">
      <w:pPr>
        <w:widowControl/>
        <w:shd w:val="clear" w:color="auto" w:fill="FFFFFF"/>
        <w:spacing w:line="450" w:lineRule="atLeast"/>
        <w:jc w:val="center"/>
        <w:rPr>
          <w:rFonts w:ascii="宋体" w:eastAsia="宋体" w:hAnsi="宋体" w:cs="Times New Roman" w:hint="eastAsia"/>
          <w:color w:val="333333"/>
          <w:kern w:val="0"/>
          <w:sz w:val="18"/>
          <w:szCs w:val="18"/>
        </w:rPr>
      </w:pPr>
      <w:r w:rsidRPr="00183AFD">
        <w:rPr>
          <w:rFonts w:ascii="MS Mincho" w:eastAsia="MS Mincho" w:hAnsi="MS Mincho" w:cs="MS Mincho"/>
          <w:color w:val="000000"/>
          <w:kern w:val="0"/>
          <w:sz w:val="44"/>
          <w:szCs w:val="44"/>
          <w:shd w:val="clear" w:color="auto" w:fill="FFFFFF"/>
        </w:rPr>
        <w:t>挂牌上市后</w:t>
      </w:r>
      <w:r w:rsidRPr="00183AFD">
        <w:rPr>
          <w:rFonts w:ascii="SimSun" w:eastAsia="SimSun" w:hAnsi="SimSun" w:cs="SimSun"/>
          <w:color w:val="000000"/>
          <w:kern w:val="0"/>
          <w:sz w:val="44"/>
          <w:szCs w:val="44"/>
          <w:shd w:val="clear" w:color="auto" w:fill="FFFFFF"/>
        </w:rPr>
        <w:t>备</w:t>
      </w:r>
      <w:r w:rsidRPr="00183AFD">
        <w:rPr>
          <w:rFonts w:ascii="MS Mincho" w:eastAsia="MS Mincho" w:hAnsi="MS Mincho" w:cs="MS Mincho"/>
          <w:color w:val="000000"/>
          <w:kern w:val="0"/>
          <w:sz w:val="44"/>
          <w:szCs w:val="44"/>
          <w:shd w:val="clear" w:color="auto" w:fill="FFFFFF"/>
        </w:rPr>
        <w:t>企</w:t>
      </w:r>
      <w:r w:rsidRPr="00183AFD">
        <w:rPr>
          <w:rFonts w:ascii="SimSun" w:eastAsia="SimSun" w:hAnsi="SimSun" w:cs="SimSun"/>
          <w:color w:val="000000"/>
          <w:kern w:val="0"/>
          <w:sz w:val="44"/>
          <w:szCs w:val="44"/>
          <w:shd w:val="clear" w:color="auto" w:fill="FFFFFF"/>
        </w:rPr>
        <w:t>业</w:t>
      </w:r>
      <w:r w:rsidRPr="00183AFD">
        <w:rPr>
          <w:rFonts w:ascii="MS Mincho" w:eastAsia="MS Mincho" w:hAnsi="MS Mincho" w:cs="MS Mincho"/>
          <w:color w:val="000000"/>
          <w:kern w:val="0"/>
          <w:sz w:val="44"/>
          <w:szCs w:val="44"/>
          <w:shd w:val="clear" w:color="auto" w:fill="FFFFFF"/>
        </w:rPr>
        <w:t>申</w:t>
      </w:r>
      <w:r w:rsidRPr="00183AFD">
        <w:rPr>
          <w:rFonts w:ascii="SimSun" w:eastAsia="SimSun" w:hAnsi="SimSun" w:cs="SimSun"/>
          <w:color w:val="000000"/>
          <w:kern w:val="0"/>
          <w:sz w:val="44"/>
          <w:szCs w:val="44"/>
          <w:shd w:val="clear" w:color="auto" w:fill="FFFFFF"/>
        </w:rPr>
        <w:t>请</w:t>
      </w:r>
      <w:r w:rsidRPr="00183AFD">
        <w:rPr>
          <w:rFonts w:ascii="MS Mincho" w:eastAsia="MS Mincho" w:hAnsi="MS Mincho" w:cs="MS Mincho"/>
          <w:color w:val="000000"/>
          <w:kern w:val="0"/>
          <w:sz w:val="44"/>
          <w:szCs w:val="44"/>
          <w:shd w:val="clear" w:color="auto" w:fill="FFFFFF"/>
        </w:rPr>
        <w:t>表</w:t>
      </w:r>
      <w:r w:rsidRPr="00183AFD">
        <w:rPr>
          <w:rFonts w:ascii="Times New Roman" w:eastAsia="宋体" w:hAnsi="Times New Roman" w:cs="Times New Roman"/>
          <w:color w:val="000000"/>
          <w:kern w:val="0"/>
          <w:sz w:val="44"/>
          <w:szCs w:val="44"/>
          <w:shd w:val="clear" w:color="auto" w:fill="FFFFFF"/>
        </w:rPr>
        <w:t> </w:t>
      </w:r>
    </w:p>
    <w:tbl>
      <w:tblPr>
        <w:tblW w:w="9555" w:type="dxa"/>
        <w:jc w:val="center"/>
        <w:shd w:val="clear" w:color="auto" w:fill="FFFFFF"/>
        <w:tblCellMar>
          <w:left w:w="0" w:type="dxa"/>
          <w:right w:w="0" w:type="dxa"/>
        </w:tblCellMar>
        <w:tblLook w:val="04A0" w:firstRow="1" w:lastRow="0" w:firstColumn="1" w:lastColumn="0" w:noHBand="0" w:noVBand="1"/>
      </w:tblPr>
      <w:tblGrid>
        <w:gridCol w:w="1599"/>
        <w:gridCol w:w="624"/>
        <w:gridCol w:w="1064"/>
        <w:gridCol w:w="2128"/>
        <w:gridCol w:w="2092"/>
        <w:gridCol w:w="2048"/>
      </w:tblGrid>
      <w:tr w:rsidR="00183AFD" w:rsidRPr="00183AFD" w14:paraId="7B074F18" w14:textId="77777777" w:rsidTr="00183AFD">
        <w:trPr>
          <w:jc w:val="center"/>
        </w:trPr>
        <w:tc>
          <w:tcPr>
            <w:tcW w:w="22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7ABC61F"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名称（全称）</w:t>
            </w: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3DC6203"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8A8E34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法定代表人</w:t>
            </w:r>
          </w:p>
        </w:tc>
        <w:tc>
          <w:tcPr>
            <w:tcW w:w="436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2233078"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795AC7E6" w14:textId="77777777" w:rsidTr="00183AFD">
        <w:trPr>
          <w:jc w:val="center"/>
        </w:trPr>
        <w:tc>
          <w:tcPr>
            <w:tcW w:w="22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2725450"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企业注册地址</w:t>
            </w: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7195FFF"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38498CD"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邮政编码</w:t>
            </w:r>
          </w:p>
        </w:tc>
        <w:tc>
          <w:tcPr>
            <w:tcW w:w="436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10E697D0"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54A9072A" w14:textId="77777777" w:rsidTr="00183AFD">
        <w:trPr>
          <w:jc w:val="center"/>
        </w:trPr>
        <w:tc>
          <w:tcPr>
            <w:tcW w:w="22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AB3AB6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企业成立时间</w:t>
            </w: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9C28693"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6B1832E"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设立股份</w:t>
            </w:r>
          </w:p>
          <w:p w14:paraId="23024405"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公司时间</w:t>
            </w:r>
          </w:p>
        </w:tc>
        <w:tc>
          <w:tcPr>
            <w:tcW w:w="436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8F83229"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79FC2036" w14:textId="77777777" w:rsidTr="00183AFD">
        <w:trPr>
          <w:jc w:val="center"/>
        </w:trPr>
        <w:tc>
          <w:tcPr>
            <w:tcW w:w="2240" w:type="dxa"/>
            <w:vMerge w:val="restart"/>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384BFE7"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企业联系人</w:t>
            </w:r>
          </w:p>
          <w:p w14:paraId="46C30577"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（职务）</w:t>
            </w:r>
          </w:p>
        </w:tc>
        <w:tc>
          <w:tcPr>
            <w:tcW w:w="16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2B58C8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196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9DC2EBE"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办公电话</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1EFA0EDC" w14:textId="77777777" w:rsidR="00183AFD" w:rsidRPr="00183AFD" w:rsidRDefault="00183AFD" w:rsidP="00183AFD">
            <w:pPr>
              <w:widowControl/>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A18CD9C"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移动电话</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494C2A6"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30EE31E6"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86CA383"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16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AC9C802" w14:textId="77777777" w:rsidR="00183AFD" w:rsidRPr="00183AFD" w:rsidRDefault="00183AFD" w:rsidP="00183AFD">
            <w:pPr>
              <w:widowControl/>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196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A0AD264"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传</w:t>
            </w:r>
            <w:r w:rsidRPr="00183AFD">
              <w:rPr>
                <w:rFonts w:ascii="仿宋_GB2312" w:eastAsia="仿宋_GB2312" w:hAnsi="宋体" w:cs="Times New Roman" w:hint="eastAsia"/>
                <w:color w:val="333333"/>
                <w:kern w:val="0"/>
              </w:rPr>
              <w:t> </w:t>
            </w:r>
            <w:r w:rsidRPr="00183AFD">
              <w:rPr>
                <w:rFonts w:ascii="仿宋_GB2312" w:eastAsia="仿宋_GB2312" w:hAnsi="宋体" w:cs="Times New Roman" w:hint="eastAsia"/>
                <w:color w:val="333333"/>
                <w:kern w:val="0"/>
              </w:rPr>
              <w:t>真</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C35FBC0" w14:textId="77777777" w:rsidR="00183AFD" w:rsidRPr="00183AFD" w:rsidRDefault="00183AFD" w:rsidP="00183AFD">
            <w:pPr>
              <w:widowControl/>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1E07E226"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电子信箱</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F7B86C6"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3AD005DF" w14:textId="77777777" w:rsidTr="00183AFD">
        <w:trPr>
          <w:jc w:val="center"/>
        </w:trPr>
        <w:tc>
          <w:tcPr>
            <w:tcW w:w="22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CFD0179"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主营业务</w:t>
            </w:r>
          </w:p>
        </w:tc>
        <w:tc>
          <w:tcPr>
            <w:tcW w:w="6120" w:type="dxa"/>
            <w:gridSpan w:val="3"/>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12E4C48"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8315160"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行</w:t>
            </w:r>
            <w:r w:rsidRPr="00183AFD">
              <w:rPr>
                <w:rFonts w:ascii="仿宋_GB2312" w:eastAsia="仿宋_GB2312" w:hAnsi="宋体" w:cs="Times New Roman" w:hint="eastAsia"/>
                <w:color w:val="333333"/>
                <w:kern w:val="0"/>
              </w:rPr>
              <w:t>   </w:t>
            </w:r>
            <w:r w:rsidRPr="00183AFD">
              <w:rPr>
                <w:rFonts w:ascii="仿宋_GB2312" w:eastAsia="仿宋_GB2312" w:hAnsi="宋体" w:cs="Times New Roman" w:hint="eastAsia"/>
                <w:color w:val="333333"/>
                <w:kern w:val="0"/>
              </w:rPr>
              <w:t>业</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170BCD4F"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3E03ED5A" w14:textId="77777777" w:rsidTr="00183AFD">
        <w:trPr>
          <w:jc w:val="center"/>
        </w:trPr>
        <w:tc>
          <w:tcPr>
            <w:tcW w:w="22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97E225D"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企业性质</w:t>
            </w: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6F92845" w14:textId="77777777" w:rsidR="00183AFD" w:rsidRPr="00183AFD" w:rsidRDefault="00183AFD" w:rsidP="00183AFD">
            <w:pPr>
              <w:widowControl/>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□国有或国有控股</w:t>
            </w:r>
          </w:p>
          <w:p w14:paraId="2F8ABAC8" w14:textId="77777777" w:rsidR="00183AFD" w:rsidRPr="00183AFD" w:rsidRDefault="00183AFD" w:rsidP="00183AFD">
            <w:pPr>
              <w:widowControl/>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□非国有（□外资）</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82C4AB8"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是否高科技企业</w:t>
            </w:r>
          </w:p>
        </w:tc>
        <w:tc>
          <w:tcPr>
            <w:tcW w:w="436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63B5A4C"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□是</w:t>
            </w:r>
            <w:r w:rsidRPr="00183AFD">
              <w:rPr>
                <w:rFonts w:ascii="仿宋_GB2312" w:eastAsia="仿宋_GB2312" w:hAnsi="宋体" w:cs="Times New Roman" w:hint="eastAsia"/>
                <w:color w:val="333333"/>
                <w:kern w:val="0"/>
              </w:rPr>
              <w:t>       </w:t>
            </w:r>
            <w:r w:rsidRPr="00183AFD">
              <w:rPr>
                <w:rFonts w:ascii="仿宋_GB2312" w:eastAsia="仿宋_GB2312" w:hAnsi="宋体" w:cs="Times New Roman" w:hint="eastAsia"/>
                <w:color w:val="333333"/>
                <w:kern w:val="0"/>
              </w:rPr>
              <w:t>□否</w:t>
            </w:r>
          </w:p>
        </w:tc>
      </w:tr>
      <w:tr w:rsidR="00183AFD" w:rsidRPr="00183AFD" w14:paraId="5339D003" w14:textId="77777777" w:rsidTr="00183AFD">
        <w:trPr>
          <w:jc w:val="center"/>
        </w:trPr>
        <w:tc>
          <w:tcPr>
            <w:tcW w:w="2240" w:type="dxa"/>
            <w:vMerge w:val="restart"/>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7B5641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股本或实收</w:t>
            </w:r>
          </w:p>
          <w:p w14:paraId="44CCE03A"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资本金额</w:t>
            </w:r>
          </w:p>
          <w:p w14:paraId="02C2FB2C"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xml:space="preserve">（ </w:t>
            </w:r>
            <w:r w:rsidRPr="00183AFD">
              <w:rPr>
                <w:rFonts w:ascii="仿宋_GB2312" w:eastAsia="仿宋_GB2312" w:hAnsi="宋体" w:cs="Times New Roman" w:hint="eastAsia"/>
                <w:color w:val="333333"/>
                <w:kern w:val="0"/>
              </w:rPr>
              <w:t>   </w:t>
            </w:r>
            <w:r w:rsidRPr="00183AFD">
              <w:rPr>
                <w:rFonts w:ascii="仿宋_GB2312" w:eastAsia="仿宋_GB2312" w:hAnsi="宋体" w:cs="Times New Roman" w:hint="eastAsia"/>
                <w:color w:val="333333"/>
                <w:kern w:val="0"/>
              </w:rPr>
              <w:t>万元）</w:t>
            </w:r>
          </w:p>
          <w:p w14:paraId="0D2A8242" w14:textId="77777777" w:rsidR="00183AFD" w:rsidRPr="00183AFD" w:rsidRDefault="00183AFD" w:rsidP="00183AFD">
            <w:pPr>
              <w:widowControl/>
              <w:spacing w:line="450" w:lineRule="atLeast"/>
              <w:ind w:firstLine="24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2D3C518"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股东名称</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13CED26"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持股金额</w:t>
            </w:r>
          </w:p>
          <w:p w14:paraId="19628151"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（万股）</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307CC97"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持股比例</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D40A77B"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股东所有制</w:t>
            </w:r>
          </w:p>
          <w:p w14:paraId="0465DF7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性质</w:t>
            </w:r>
          </w:p>
        </w:tc>
      </w:tr>
      <w:tr w:rsidR="00183AFD" w:rsidRPr="00183AFD" w14:paraId="510A7A01"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BEDD462"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1DF9B6E1"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FE99235"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E9AC523"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28986EF"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7943D594"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9F769E2"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3A5BDB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86B3127"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34976B0"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45B2FC1"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2E78887E"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A658022"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2F16B7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2B3DF1C"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9832830"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7A98C4F"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2D1A5962"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11922C9"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1C58712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7F8DF5A"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19D236F"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4654BD1"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272C918E"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6E3D0E0"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CD11E21"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D7DC264"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C97271C"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DC41A2A"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34D22484" w14:textId="77777777" w:rsidTr="00183AFD">
        <w:trPr>
          <w:jc w:val="center"/>
        </w:trPr>
        <w:tc>
          <w:tcPr>
            <w:tcW w:w="2240" w:type="dxa"/>
            <w:vMerge w:val="restart"/>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3D8B55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主要产品</w:t>
            </w:r>
          </w:p>
        </w:tc>
        <w:tc>
          <w:tcPr>
            <w:tcW w:w="16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BB10898"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产品名称</w:t>
            </w:r>
          </w:p>
        </w:tc>
        <w:tc>
          <w:tcPr>
            <w:tcW w:w="196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1A38829"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产品用途</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9AB57AC"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u w:val="single"/>
              </w:rPr>
              <w:t>      </w:t>
            </w:r>
            <w:r w:rsidRPr="00183AFD">
              <w:rPr>
                <w:rFonts w:ascii="仿宋_GB2312" w:eastAsia="仿宋_GB2312" w:hAnsi="宋体" w:cs="Times New Roman" w:hint="eastAsia"/>
                <w:color w:val="333333"/>
                <w:kern w:val="0"/>
              </w:rPr>
              <w:t>年度销售收入（万元）</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D4F45F6"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u w:val="single"/>
              </w:rPr>
              <w:t>     </w:t>
            </w:r>
            <w:r w:rsidRPr="00183AFD">
              <w:rPr>
                <w:rFonts w:ascii="仿宋_GB2312" w:eastAsia="仿宋_GB2312" w:hAnsi="宋体" w:cs="Times New Roman" w:hint="eastAsia"/>
                <w:color w:val="333333"/>
                <w:kern w:val="0"/>
              </w:rPr>
              <w:t>年度销售收入（万元）</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153BDE76"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产品影响力及在全国市场的占有率</w:t>
            </w:r>
          </w:p>
        </w:tc>
      </w:tr>
      <w:tr w:rsidR="00183AFD" w:rsidRPr="00183AFD" w14:paraId="0967B6F4"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CCFB903"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16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7F998DB"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196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D69F1A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467B927"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A36FD2F"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A9BE33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332DA32C"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AE2748C"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16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C9E0AC2" w14:textId="77777777" w:rsidR="00183AFD" w:rsidRPr="00183AFD" w:rsidRDefault="00183AFD" w:rsidP="00183AFD">
            <w:pPr>
              <w:widowControl/>
              <w:jc w:val="left"/>
              <w:rPr>
                <w:rFonts w:ascii="宋体" w:eastAsia="宋体" w:hAnsi="宋体" w:cs="Times New Roman" w:hint="eastAsia"/>
                <w:color w:val="333333"/>
                <w:kern w:val="0"/>
                <w:sz w:val="18"/>
                <w:szCs w:val="18"/>
              </w:rPr>
            </w:pPr>
          </w:p>
        </w:tc>
        <w:tc>
          <w:tcPr>
            <w:tcW w:w="196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60F7D89" w14:textId="77777777" w:rsidR="00183AFD" w:rsidRPr="00183AFD" w:rsidRDefault="00183AFD" w:rsidP="00183AFD">
            <w:pPr>
              <w:widowControl/>
              <w:jc w:val="left"/>
              <w:rPr>
                <w:rFonts w:ascii="Times New Roman" w:eastAsia="Times New Roman" w:hAnsi="Times New Roman" w:cs="Times New Roman"/>
                <w:kern w:val="0"/>
                <w:sz w:val="20"/>
                <w:szCs w:val="20"/>
              </w:rPr>
            </w:pP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B4FA811" w14:textId="77777777" w:rsidR="00183AFD" w:rsidRPr="00183AFD" w:rsidRDefault="00183AFD" w:rsidP="00183AFD">
            <w:pPr>
              <w:widowControl/>
              <w:jc w:val="left"/>
              <w:rPr>
                <w:rFonts w:ascii="Times New Roman" w:eastAsia="Times New Roman" w:hAnsi="Times New Roman" w:cs="Times New Roman"/>
                <w:kern w:val="0"/>
                <w:sz w:val="20"/>
                <w:szCs w:val="20"/>
              </w:rPr>
            </w:pP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9EF6FF6" w14:textId="77777777" w:rsidR="00183AFD" w:rsidRPr="00183AFD" w:rsidRDefault="00183AFD" w:rsidP="00183AFD">
            <w:pPr>
              <w:widowControl/>
              <w:jc w:val="left"/>
              <w:rPr>
                <w:rFonts w:ascii="Times New Roman" w:eastAsia="Times New Roman" w:hAnsi="Times New Roman" w:cs="Times New Roman"/>
                <w:kern w:val="0"/>
                <w:sz w:val="20"/>
                <w:szCs w:val="20"/>
              </w:rPr>
            </w:pP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1A71DC3" w14:textId="77777777" w:rsidR="00183AFD" w:rsidRPr="00183AFD" w:rsidRDefault="00183AFD" w:rsidP="00183AFD">
            <w:pPr>
              <w:widowControl/>
              <w:jc w:val="left"/>
              <w:rPr>
                <w:rFonts w:ascii="Times New Roman" w:eastAsia="Times New Roman" w:hAnsi="Times New Roman" w:cs="Times New Roman"/>
                <w:kern w:val="0"/>
                <w:sz w:val="20"/>
                <w:szCs w:val="20"/>
              </w:rPr>
            </w:pPr>
          </w:p>
        </w:tc>
      </w:tr>
      <w:tr w:rsidR="00183AFD" w:rsidRPr="00183AFD" w14:paraId="2F317FC1" w14:textId="77777777" w:rsidTr="00183AFD">
        <w:trPr>
          <w:jc w:val="center"/>
        </w:trPr>
        <w:tc>
          <w:tcPr>
            <w:tcW w:w="2240" w:type="dxa"/>
            <w:vMerge w:val="restart"/>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8D9A706" w14:textId="77777777" w:rsidR="00183AFD" w:rsidRPr="00183AFD" w:rsidRDefault="00183AFD" w:rsidP="00183AFD">
            <w:pPr>
              <w:widowControl/>
              <w:spacing w:line="450" w:lineRule="atLeast"/>
              <w:jc w:val="center"/>
              <w:rPr>
                <w:rFonts w:ascii="宋体" w:eastAsia="宋体" w:hAnsi="宋体" w:cs="Times New Roman"/>
                <w:color w:val="333333"/>
                <w:kern w:val="0"/>
                <w:sz w:val="18"/>
                <w:szCs w:val="18"/>
              </w:rPr>
            </w:pPr>
            <w:r w:rsidRPr="00183AFD">
              <w:rPr>
                <w:rFonts w:ascii="仿宋_GB2312" w:eastAsia="仿宋_GB2312" w:hAnsi="宋体" w:cs="Times New Roman" w:hint="eastAsia"/>
                <w:color w:val="333333"/>
                <w:kern w:val="0"/>
              </w:rPr>
              <w:t>财务状况</w:t>
            </w:r>
          </w:p>
          <w:p w14:paraId="50E97B6D"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（万元）</w:t>
            </w: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830F451"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近三年度</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9199A98"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u w:val="single"/>
              </w:rPr>
              <w:t>       </w:t>
            </w:r>
            <w:r w:rsidRPr="00183AFD">
              <w:rPr>
                <w:rFonts w:ascii="仿宋_GB2312" w:eastAsia="仿宋_GB2312" w:hAnsi="宋体" w:cs="Times New Roman" w:hint="eastAsia"/>
                <w:color w:val="333333"/>
                <w:kern w:val="0"/>
              </w:rPr>
              <w:t>年度</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64CAAE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u w:val="single"/>
              </w:rPr>
              <w:t>       </w:t>
            </w:r>
            <w:r w:rsidRPr="00183AFD">
              <w:rPr>
                <w:rFonts w:ascii="仿宋_GB2312" w:eastAsia="仿宋_GB2312" w:hAnsi="宋体" w:cs="Times New Roman" w:hint="eastAsia"/>
                <w:color w:val="333333"/>
                <w:kern w:val="0"/>
              </w:rPr>
              <w:t>年度</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6448F1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u w:val="single"/>
              </w:rPr>
              <w:t>       </w:t>
            </w:r>
            <w:r w:rsidRPr="00183AFD">
              <w:rPr>
                <w:rFonts w:ascii="仿宋_GB2312" w:eastAsia="仿宋_GB2312" w:hAnsi="宋体" w:cs="Times New Roman" w:hint="eastAsia"/>
                <w:color w:val="333333"/>
                <w:kern w:val="0"/>
              </w:rPr>
              <w:t>年度</w:t>
            </w:r>
          </w:p>
        </w:tc>
      </w:tr>
      <w:tr w:rsidR="00183AFD" w:rsidRPr="00183AFD" w14:paraId="5FF4097D"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8FEDD44"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47B3E7E"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总资产</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7191183"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7C188BB"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6A76C57"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33B68CF1"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01CEFFB"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12F356A"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净资产</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B211D6A"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07259A6"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DE6361B"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1DE6B9EC"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D49B903"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104BA287"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主营业务收入</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0A6C107"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847F4EB"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B8BD13B"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517EBFF7"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7776562"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A79217C"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利润总额</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14069DCB"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CE01F14"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1D153429"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3F7FA4F0"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69753FB"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67D7136"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净利润</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56D2B30"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81EB2F9"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1CC4A877"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3EC9C37F"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EE75E83"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364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D217A78"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纳税总额</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8640DE1"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30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1756B19"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09A6964"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3EBBC829" w14:textId="77777777" w:rsidTr="00183AFD">
        <w:trPr>
          <w:jc w:val="center"/>
        </w:trPr>
        <w:tc>
          <w:tcPr>
            <w:tcW w:w="2240" w:type="dxa"/>
            <w:vMerge w:val="restart"/>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D5DB26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企业上市</w:t>
            </w:r>
          </w:p>
          <w:p w14:paraId="6E913756" w14:textId="77777777" w:rsidR="00183AFD" w:rsidRPr="00183AFD" w:rsidRDefault="00183AFD" w:rsidP="00183AFD">
            <w:pPr>
              <w:widowControl/>
              <w:spacing w:line="450" w:lineRule="atLeast"/>
              <w:ind w:firstLine="352"/>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进展情况</w:t>
            </w:r>
          </w:p>
        </w:tc>
        <w:tc>
          <w:tcPr>
            <w:tcW w:w="1680" w:type="dxa"/>
            <w:vMerge w:val="restart"/>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404C0FF" w14:textId="77777777" w:rsidR="00183AFD" w:rsidRPr="00183AFD" w:rsidRDefault="00183AFD" w:rsidP="00183AFD">
            <w:pPr>
              <w:widowControl/>
              <w:spacing w:line="450" w:lineRule="atLeast"/>
              <w:ind w:hanging="316"/>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境内上市</w:t>
            </w:r>
          </w:p>
        </w:tc>
        <w:tc>
          <w:tcPr>
            <w:tcW w:w="1960" w:type="dxa"/>
            <w:vMerge w:val="restart"/>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56CE00F"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已辅导备案</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CDC8F18"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辅导备案时间</w:t>
            </w:r>
          </w:p>
        </w:tc>
        <w:tc>
          <w:tcPr>
            <w:tcW w:w="436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46A57EC"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1D5CB322"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4FA950D"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C34EA7D"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514A449"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3EF6D6C"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中介机构</w:t>
            </w:r>
          </w:p>
        </w:tc>
        <w:tc>
          <w:tcPr>
            <w:tcW w:w="436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345871A"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15016FEF"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850EC29"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3808BFB"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586E0AC"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265DAB5"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拟申报时间</w:t>
            </w:r>
          </w:p>
        </w:tc>
        <w:tc>
          <w:tcPr>
            <w:tcW w:w="436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88442BF"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5773BDD1"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32FCF6E"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C35A43A"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196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0EA02E4"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未辅导备案</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C7D92B0"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进展情况</w:t>
            </w:r>
          </w:p>
        </w:tc>
        <w:tc>
          <w:tcPr>
            <w:tcW w:w="436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87123B5"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4FA6C706"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E45E208"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1680" w:type="dxa"/>
            <w:vMerge w:val="restart"/>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9FCFDFC"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境外上市</w:t>
            </w:r>
          </w:p>
        </w:tc>
        <w:tc>
          <w:tcPr>
            <w:tcW w:w="196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9A88569"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拟上市地</w:t>
            </w:r>
          </w:p>
        </w:tc>
        <w:tc>
          <w:tcPr>
            <w:tcW w:w="6860" w:type="dxa"/>
            <w:gridSpan w:val="3"/>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112F752"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3B8BE78D"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C2E20E6"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0B0F631"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196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FE17916"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进展情况</w:t>
            </w:r>
          </w:p>
        </w:tc>
        <w:tc>
          <w:tcPr>
            <w:tcW w:w="6860" w:type="dxa"/>
            <w:gridSpan w:val="3"/>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7EF1F2D"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06C35BAF" w14:textId="77777777" w:rsidTr="00183AFD">
        <w:trPr>
          <w:jc w:val="center"/>
        </w:trPr>
        <w:tc>
          <w:tcPr>
            <w:tcW w:w="2240" w:type="dxa"/>
            <w:vMerge w:val="restart"/>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13EDCC6"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企业挂牌</w:t>
            </w:r>
          </w:p>
          <w:p w14:paraId="63A85585"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进展情况</w:t>
            </w:r>
          </w:p>
        </w:tc>
        <w:tc>
          <w:tcPr>
            <w:tcW w:w="1680" w:type="dxa"/>
            <w:vMerge w:val="restart"/>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BE5B4FF"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新三板</w:t>
            </w:r>
          </w:p>
        </w:tc>
        <w:tc>
          <w:tcPr>
            <w:tcW w:w="1960" w:type="dxa"/>
            <w:vMerge w:val="restart"/>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465D6C3C"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已挂牌</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90E0C39"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挂牌时间</w:t>
            </w:r>
          </w:p>
        </w:tc>
        <w:tc>
          <w:tcPr>
            <w:tcW w:w="436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AF792B0"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36014DC4"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FA0F1DD"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C6B61FC"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E9ACAF4"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368B448"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是否交易</w:t>
            </w:r>
          </w:p>
        </w:tc>
        <w:tc>
          <w:tcPr>
            <w:tcW w:w="436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62D8E620" w14:textId="77777777" w:rsidR="00183AFD" w:rsidRPr="00183AFD" w:rsidRDefault="00183AFD" w:rsidP="00183AFD">
            <w:pPr>
              <w:widowControl/>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3E083515"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B112082"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B18FFEF"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91F2C18"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1BEB7E5F"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累计融资金额</w:t>
            </w:r>
          </w:p>
        </w:tc>
        <w:tc>
          <w:tcPr>
            <w:tcW w:w="436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45BBA56" w14:textId="77777777" w:rsidR="00183AFD" w:rsidRPr="00183AFD" w:rsidRDefault="00183AFD" w:rsidP="00183AFD">
            <w:pPr>
              <w:widowControl/>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77AC5BB2"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BE9372D"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CF69D4E"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196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3BFD78A7"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未挂牌</w:t>
            </w:r>
          </w:p>
        </w:tc>
        <w:tc>
          <w:tcPr>
            <w:tcW w:w="24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060A64CE"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进展情况</w:t>
            </w:r>
          </w:p>
        </w:tc>
        <w:tc>
          <w:tcPr>
            <w:tcW w:w="4360" w:type="dxa"/>
            <w:gridSpan w:val="2"/>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57C9E6E9"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 </w:t>
            </w:r>
          </w:p>
        </w:tc>
      </w:tr>
      <w:tr w:rsidR="00183AFD" w:rsidRPr="00183AFD" w14:paraId="74416E35" w14:textId="77777777" w:rsidTr="00183AFD">
        <w:trPr>
          <w:jc w:val="center"/>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A46C0D0" w14:textId="77777777" w:rsidR="00183AFD" w:rsidRPr="00183AFD" w:rsidRDefault="00183AFD" w:rsidP="00183AFD">
            <w:pPr>
              <w:widowControl/>
              <w:jc w:val="left"/>
              <w:rPr>
                <w:rFonts w:ascii="宋体" w:eastAsia="宋体" w:hAnsi="宋体" w:cs="Times New Roman"/>
                <w:color w:val="333333"/>
                <w:kern w:val="0"/>
                <w:sz w:val="18"/>
                <w:szCs w:val="18"/>
              </w:rPr>
            </w:pPr>
          </w:p>
        </w:tc>
        <w:tc>
          <w:tcPr>
            <w:tcW w:w="1680" w:type="dxa"/>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775FBCDB"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区域市场</w:t>
            </w:r>
          </w:p>
        </w:tc>
        <w:tc>
          <w:tcPr>
            <w:tcW w:w="8820" w:type="dxa"/>
            <w:gridSpan w:val="4"/>
            <w:tcBorders>
              <w:top w:val="single" w:sz="6" w:space="0" w:color="CCCCCC"/>
              <w:left w:val="single" w:sz="6" w:space="0" w:color="CCCCCC"/>
              <w:bottom w:val="single" w:sz="6" w:space="0" w:color="CCCCCC"/>
              <w:right w:val="single" w:sz="6" w:space="0" w:color="CCCCCC"/>
            </w:tcBorders>
            <w:shd w:val="clear" w:color="auto" w:fill="auto"/>
            <w:tcMar>
              <w:top w:w="60" w:type="dxa"/>
              <w:left w:w="60" w:type="dxa"/>
              <w:bottom w:w="60" w:type="dxa"/>
              <w:right w:w="60" w:type="dxa"/>
            </w:tcMar>
            <w:vAlign w:val="center"/>
            <w:hideMark/>
          </w:tcPr>
          <w:p w14:paraId="2EDD20D6" w14:textId="77777777" w:rsidR="00183AFD" w:rsidRPr="00183AFD" w:rsidRDefault="00183AFD" w:rsidP="00183AFD">
            <w:pPr>
              <w:widowControl/>
              <w:spacing w:line="450" w:lineRule="atLeast"/>
              <w:jc w:val="center"/>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rPr>
              <w:t>□海交中心</w:t>
            </w:r>
            <w:r w:rsidRPr="00183AFD">
              <w:rPr>
                <w:rFonts w:ascii="仿宋_GB2312" w:eastAsia="仿宋_GB2312" w:hAnsi="宋体" w:cs="Times New Roman" w:hint="eastAsia"/>
                <w:color w:val="333333"/>
                <w:kern w:val="0"/>
              </w:rPr>
              <w:t>        </w:t>
            </w:r>
            <w:r w:rsidRPr="00183AFD">
              <w:rPr>
                <w:rFonts w:ascii="仿宋_GB2312" w:eastAsia="仿宋_GB2312" w:hAnsi="宋体" w:cs="Times New Roman" w:hint="eastAsia"/>
                <w:color w:val="333333"/>
                <w:kern w:val="0"/>
              </w:rPr>
              <w:t>□其他</w:t>
            </w:r>
            <w:r w:rsidRPr="00183AFD">
              <w:rPr>
                <w:rFonts w:ascii="仿宋_GB2312" w:eastAsia="仿宋_GB2312" w:hAnsi="宋体" w:cs="Times New Roman" w:hint="eastAsia"/>
                <w:color w:val="333333"/>
                <w:kern w:val="0"/>
                <w:u w:val="single"/>
              </w:rPr>
              <w:t>         </w:t>
            </w:r>
          </w:p>
        </w:tc>
      </w:tr>
    </w:tbl>
    <w:p w14:paraId="0D2DD780"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22"/>
          <w:szCs w:val="22"/>
        </w:rPr>
        <w:t> </w:t>
      </w:r>
    </w:p>
    <w:p w14:paraId="32B100E0"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4B7B4DC4"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5463417A"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7ED3C706"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1D872BFD"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65AF57A8"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12C2C491"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54FB9DCE"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53E1CB57"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1842AAD7"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50A0B29A"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3FF09623"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0BBC8E8A"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5BB50518"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32"/>
          <w:szCs w:val="32"/>
        </w:rPr>
        <w:t> </w:t>
      </w:r>
    </w:p>
    <w:p w14:paraId="4A915611" w14:textId="77777777" w:rsidR="00183AFD" w:rsidRPr="00183AFD" w:rsidRDefault="00183AFD" w:rsidP="00183AFD">
      <w:pPr>
        <w:widowControl/>
        <w:shd w:val="clear" w:color="auto" w:fill="FFFFFF"/>
        <w:spacing w:line="450" w:lineRule="atLeast"/>
        <w:ind w:firstLine="28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28"/>
          <w:szCs w:val="28"/>
        </w:rPr>
        <w:t>区直有关单位：区发改局、经信局、财政局、商务局、科技局、人社</w:t>
      </w:r>
    </w:p>
    <w:p w14:paraId="449F96AD" w14:textId="77777777" w:rsidR="00183AFD" w:rsidRPr="00183AFD" w:rsidRDefault="00183AFD" w:rsidP="00183AFD">
      <w:pPr>
        <w:widowControl/>
        <w:shd w:val="clear" w:color="auto" w:fill="FFFFFF"/>
        <w:spacing w:line="450" w:lineRule="atLeast"/>
        <w:ind w:firstLine="112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28"/>
          <w:szCs w:val="28"/>
        </w:rPr>
        <w:t>局、住建局、环保局、安监局、国土资源分局、规划分局、工</w:t>
      </w:r>
    </w:p>
    <w:p w14:paraId="39645625" w14:textId="77777777" w:rsidR="00183AFD" w:rsidRPr="00183AFD" w:rsidRDefault="00183AFD" w:rsidP="00183AFD">
      <w:pPr>
        <w:widowControl/>
        <w:shd w:val="clear" w:color="auto" w:fill="FFFFFF"/>
        <w:spacing w:line="450" w:lineRule="atLeast"/>
        <w:ind w:firstLine="112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28"/>
          <w:szCs w:val="28"/>
        </w:rPr>
        <w:t>商分局、公安分局、消防大队、国税局、地税局，市质监局洛</w:t>
      </w:r>
    </w:p>
    <w:p w14:paraId="5949A77A" w14:textId="77777777" w:rsidR="00183AFD" w:rsidRPr="00183AFD" w:rsidRDefault="00183AFD" w:rsidP="00183AFD">
      <w:pPr>
        <w:widowControl/>
        <w:shd w:val="clear" w:color="auto" w:fill="FFFFFF"/>
        <w:spacing w:line="450" w:lineRule="atLeast"/>
        <w:ind w:firstLine="112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28"/>
          <w:szCs w:val="28"/>
        </w:rPr>
        <w:t>江分局。</w:t>
      </w:r>
    </w:p>
    <w:p w14:paraId="79AACB95" w14:textId="77777777" w:rsidR="00183AFD" w:rsidRPr="00183AFD" w:rsidRDefault="00183AFD" w:rsidP="00183AFD">
      <w:pPr>
        <w:widowControl/>
        <w:shd w:val="clear" w:color="auto" w:fill="FFFFFF"/>
        <w:spacing w:line="450" w:lineRule="atLeast"/>
        <w:ind w:firstLine="28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28"/>
          <w:szCs w:val="28"/>
        </w:rPr>
        <w:t>抄送：市金融局。</w:t>
      </w:r>
    </w:p>
    <w:p w14:paraId="28511249" w14:textId="77777777" w:rsidR="00183AFD" w:rsidRPr="00183AFD" w:rsidRDefault="00183AFD" w:rsidP="00183AFD">
      <w:pPr>
        <w:widowControl/>
        <w:shd w:val="clear" w:color="auto" w:fill="FFFFFF"/>
        <w:spacing w:line="450" w:lineRule="atLeast"/>
        <w:ind w:firstLine="1120"/>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28"/>
          <w:szCs w:val="28"/>
        </w:rPr>
        <w:t>区法院，区检察院。</w:t>
      </w:r>
    </w:p>
    <w:p w14:paraId="49373770" w14:textId="77777777" w:rsidR="00183AFD" w:rsidRPr="00183AFD" w:rsidRDefault="00183AFD" w:rsidP="00183AFD">
      <w:pPr>
        <w:widowControl/>
        <w:shd w:val="clear" w:color="auto" w:fill="FFFFFF"/>
        <w:spacing w:line="450" w:lineRule="atLeast"/>
        <w:jc w:val="left"/>
        <w:rPr>
          <w:rFonts w:ascii="宋体" w:eastAsia="宋体" w:hAnsi="宋体" w:cs="Times New Roman" w:hint="eastAsia"/>
          <w:color w:val="333333"/>
          <w:kern w:val="0"/>
          <w:sz w:val="18"/>
          <w:szCs w:val="18"/>
        </w:rPr>
      </w:pPr>
      <w:r w:rsidRPr="00183AFD">
        <w:rPr>
          <w:rFonts w:ascii="仿宋_GB2312" w:eastAsia="仿宋_GB2312" w:hAnsi="宋体" w:cs="Times New Roman" w:hint="eastAsia"/>
          <w:color w:val="333333"/>
          <w:kern w:val="0"/>
          <w:sz w:val="28"/>
          <w:szCs w:val="28"/>
        </w:rPr>
        <w:t>  </w:t>
      </w:r>
      <w:r w:rsidRPr="00183AFD">
        <w:rPr>
          <w:rFonts w:ascii="仿宋_GB2312" w:eastAsia="仿宋_GB2312" w:hAnsi="宋体" w:cs="Times New Roman" w:hint="eastAsia"/>
          <w:color w:val="333333"/>
          <w:kern w:val="0"/>
          <w:sz w:val="28"/>
          <w:szCs w:val="28"/>
        </w:rPr>
        <w:t>泉州市洛江区人民政府办公室</w:t>
      </w:r>
      <w:r w:rsidRPr="00183AFD">
        <w:rPr>
          <w:rFonts w:ascii="仿宋_GB2312" w:eastAsia="仿宋_GB2312" w:hAnsi="宋体" w:cs="Times New Roman" w:hint="eastAsia"/>
          <w:color w:val="333333"/>
          <w:kern w:val="0"/>
          <w:sz w:val="28"/>
          <w:szCs w:val="28"/>
        </w:rPr>
        <w:t>              </w:t>
      </w:r>
      <w:r w:rsidRPr="00183AFD">
        <w:rPr>
          <w:rFonts w:ascii="仿宋_GB2312" w:eastAsia="仿宋_GB2312" w:hAnsi="宋体" w:cs="Times New Roman" w:hint="eastAsia"/>
          <w:color w:val="333333"/>
          <w:kern w:val="0"/>
          <w:sz w:val="28"/>
          <w:szCs w:val="28"/>
        </w:rPr>
        <w:t>2017年11月20日印发</w:t>
      </w:r>
    </w:p>
    <w:p w14:paraId="66569103" w14:textId="77777777" w:rsidR="00B87A50" w:rsidRPr="00183AFD" w:rsidRDefault="00B87A50"/>
    <w:sectPr w:rsidR="00B87A50" w:rsidRPr="00183AFD"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仿宋_GB2312">
    <w:altName w:val="Microsoft YaHei"/>
    <w:charset w:val="86"/>
    <w:family w:val="modern"/>
    <w:pitch w:val="fixed"/>
    <w:sig w:usb0="00000001" w:usb1="080E0000" w:usb2="00000010" w:usb3="00000000" w:csb0="00040000"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FD"/>
    <w:rsid w:val="00183AFD"/>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D049B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AFD"/>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6864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870</Words>
  <Characters>4961</Characters>
  <Application>Microsoft Macintosh Word</Application>
  <DocSecurity>0</DocSecurity>
  <Lines>41</Lines>
  <Paragraphs>11</Paragraphs>
  <ScaleCrop>false</ScaleCrop>
  <LinksUpToDate>false</LinksUpToDate>
  <CharactersWithSpaces>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2018-06-09T10:43:00Z</dcterms:created>
  <dcterms:modified xsi:type="dcterms:W3CDTF">2018-06-09T10:44:00Z</dcterms:modified>
</cp:coreProperties>
</file>