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上杭县人民政府关于印发上杭县培育科技小巨人领军企业实施方案（2016—2020年）的通知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15"/>
                <w:szCs w:val="15"/>
                <w:bdr w:val="none" w:color="auto" w:sz="0" w:space="0"/>
              </w:rPr>
              <w:t>各乡（镇）人民政府，县直有关单位：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现将《上杭县培育科技小巨人领军企业实施方案（2016—2020年）》印发给你们，请结合实际认真贯彻落实。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　　　　　　　　　　　　上杭县人民政府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　　　　　　　　　　　　2016年9月22日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（此件主动公开）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15"/>
                <w:szCs w:val="15"/>
                <w:bdr w:val="none" w:color="auto" w:sz="0" w:space="0"/>
              </w:rPr>
              <w:t>上杭县培育科技小巨人领军企业实施方案</w:t>
            </w:r>
            <w:r>
              <w:rPr>
                <w:rStyle w:val="4"/>
                <w:rFonts w:hint="eastAsia" w:ascii="宋体" w:hAnsi="宋体" w:eastAsia="宋体" w:cs="宋体"/>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15"/>
                <w:szCs w:val="15"/>
                <w:bdr w:val="none" w:color="auto" w:sz="0" w:space="0"/>
              </w:rPr>
              <w:t>（2016—2020年）</w:t>
            </w:r>
            <w:r>
              <w:rPr>
                <w:rStyle w:val="4"/>
                <w:rFonts w:hint="eastAsia" w:ascii="宋体" w:hAnsi="宋体" w:eastAsia="宋体" w:cs="宋体"/>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为贯彻落实省、市“培育科技小巨人领军企业”的工作部署，加快创新上杭建设，引领产业转型升级，推动全县经济持续健康发展，特制定本方案。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一、发展目标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以新一代信息技术、新材料、高端装备制造、节能环保、新能源、生物与新医药、精细化工、现代农业等战略新兴产业领域为重点，通过加大政策扶持力度，促进科技小巨人领军企业在研发投入、知识产权、新产品开发、创新示范等方面快速提升发展，力争通过5年的培育，使其成为引领我县产业转型升级的重点骨干企业。到2020 年，培育和发展市级科技小巨人领军企业15家、省级科技小巨人领军企业5家以上。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二、遴选标准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科技小巨人领军企业应同时符合以下条件：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（一）在上杭县内工商注册登记，具有独立法人资格，符合国家划型标准的中小企业。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（二）上年度营业收入在2000万元以上，主营产品的销售额应占60％以上。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（三）近3年研发投入年平均不低于销售收入的3%（软件类企业不低于5%）。</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（四）从事研发和相关技术创新活动的科技人员占比不低于10％。</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（五）拥有技术创新团队，能够持续进行项目开发和技术创新活动。建有研发机构，具备完成技术创新任务所必备的科研设施、技术装备和实验条件。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（六）具备良好的科技成果转化能力与一定的自主知识产权数量。企业近三年内拥有自主知识产权1 项以上。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（七）具有良好的信用等级和较强的融资能力以及市场，企业资产负债率不高于70％。依法纳税、守法经营，无违规违法记录，无安全、质量事故和环境污染等事故。</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（八）高新技术企业、创新型企业、高成长企业同等条件下优先。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三、扶持措施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（一）优化企业发展环境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1.优先将科技小巨人领军企业的发展项目列入省、市、县（区）重点建设计划。科技小巨人领军企业享受产业龙头企业同等优惠政策。落实并指导科技小巨人领军企业用好用足各项惠企政策。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县发改局、经信科技局、人社局、县委组织部（人才办）、各乡镇人民政府、上杭工业园区管委会、蛟洋工业区管委办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2.科技小巨人领军企业投资项目的核准（备案）、生产许可、环保、外贸、资质资格认定、海关、检验检疫等审批核准手续全部纳入网上审批、限时办结。</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县行政服务中心、审改办、经信科技局、发改局、环保局、商务局、市场监督管理局、农业局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（二）加大研发支持力度</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1.市、县财政科技经费专项支持，每家科技小巨人领军企业给予不少于25万元补助，以项目申报形式给予支持，县财政按市级实际资助额的1：1给予配套支持。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2.科技小巨人领军企业独立或联合申报国家、省、市和我县科技计划项目、产业开发专项、技术改造项目，予以优先推荐或优先立项支持。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县经信科技局、发改局、商务局、财政局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优先推荐科技小巨人领军企业参评高新技术企业、创新型企业、知识产权优势企业。对首次认定的国家高新技术企业在市级奖励资助的基础上，县财政给予一次性奖励30万元；再次认定为高企的在市级奖励资助的基础上，县财政给予一次性奖励5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加强对科技小巨人领军企业研发费用税前加计扣除政策辅导，企业开展研发活动中实际发生的研发费用，未形成无形资产计入当期损益的，在按规定据实扣除的基础上，按照本年度实际发生额的50%，从本年度应纳税所得额中扣除；形成无形资产的，按照无形资产成本的150%在税前摊销；同时，对企业享受加计扣除政策实际减免的所得税额，优先推荐申请省级设立的科技小巨人领军企业研发费用加计扣除奖励专项资金,县财政按实际所获省级专项奖励资金的30%给予配套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县国税局、地税局、财政局、经信科技局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落实进口设备免税和重大技术装备及关键零部件进口免税、固定资产加速折旧、企业购进或自制机器设备等固定资产所发生的进项税额抵扣政策。对投资鼓励类项目引进国外先进技术设备，省、市、县级财政按其进口环节增值税5％给予补助，省、市、县重点技术改造项目优惠政策可予以叠加。</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县财政局、国税局、地税局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（三）加快研发机构建设</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对科技小巨人领军企业新批准设立的国家级、省级企业重点实验室在享受省、市级财政奖励的基础上，县财政分别给予一次性奖励50万元、25万元；对新认定的国家级、省级企业工程技术研究中心、企业技术中心，在享受省、市级财政奖励的基础上，县财政分别给予一次性奖励30万元、20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县委组织部（人才办）、县经信科技局、财政局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重点支持科技小巨人领军企业引进国内外一流大学、科研机构以及中央企业、跨国公司在上杭落地建设研发机构，凡与上述机构（企业）联合建立研发平台的，经省、市考核认定后，由县科技小巨人领军企业联席会议采取“一事一议”方式给予一定比例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科技小巨人领军企业牵头设立产业技术研究院等新型研发机构，其在承担科技计划项目、创新平台建设等方面，与科研机构享受同等政策支持。支持建设由科技小巨人领军企业牵头、产学研用充分结合的各级产业技术创新战略联盟。</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（四）推进科技成果转化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1.优先支持科技小巨人领军企业在“6·18 ”及海峡技术转移中心等平台发布产业技术需求，推动企业对接新技术成果。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县发改局、商务局、经信科技局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对科技小巨人领军企业在我县转移转化的重大成果项目，列入县联席会议进行“一事一议”，经省级部门认定后，采取后补助和常规项目资助相结合的方式，分阶段（技术成果购买、中间试验、工业性生产试验、重大产品或装备产业化）再给予一定比例资金资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县财政局、经信科技局、发改局、商务局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（五）支持市场开拓活动</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1.落实支持企业开拓市场措施，鼓励科技小巨人领军企业参加国内外知名专业展会，按相关规定予以展位费补助。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县商务局、财政局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2.鼓励使用科技小巨人领军企业生产的首台（套）重大技术装备，对属于国内首台（套）的按销售价格60％、属于省内首台（套）的按销售价格30％对生产企业及用户给予补助，最高补助金额不超过100万元。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县经信科技局、财政局、发改局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加大各级财政资金、公共服务部门对科技小巨人领军企业的新技术新产品的采购力度，带动新技术新产品在全社会的推广应用。降低科技小巨人领军企业政府采购保证金缴交比例，支持同等情况优先采购科技小巨人领军企业产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县财政局、县委办、县政府办、各乡镇人民政府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（六）加强知识产权工作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对并购国内外高端品牌的科技小巨人领军企业，按并购金额的10%给予补助，单项补助不超过50万元。鼓励科技小巨人领军企业实施技术标准战略，对主导制订国际标准、国家标准和行业标准的，县财政分别给予每项不高于20万元、10万元和5万元的奖励。对于牵头制订并发布省地方标准的企业，县财政给予奖励5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县市场监督管理局、经信科技局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2.对入选知识产权优势企业的科技小巨人领军企业，在申报市级以上专利产业化项目方面给予优先支持；对获得企业知识产权标准化管理体系认证的，奖励5万元；获得发明专利授权的，每件奖励1万元。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科技小巨人领军企业以专利权质押获得银行信贷，对符合条件的优先给予贴息资助，资助比例按同期银行贷款基准利率的30%予以贴息，贴息时间不超过2年，每家企业每年享受贴息不超过10万元。积极开展专利保险服务，支持科技小巨人领军企业对核心专利进行投保，可资助其相关保费的30%，最高不超过0.5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县经信科技局、银监办、人保财险上杭支公司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科技小巨人领军企业向本县区域外购买有效发明专利（有效期应有5年以上），并依法办理了权属变更登记、签订了专利转让合同的，县财政给予每件补助0.3万元。对购买高等学校、科研单位职务发明专利，单项技术交易额为20万元（含）以上，50万元（含）以下的项目，并属非关联交易且实施转化的，按技术交易额的10％给予补助，每家企业补助额度最高不超过10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（七）强化创新人才支撑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1.对科技小巨人领军企业培育和引进的各类创新创业人才，凡符合《中共上杭县委 上杭县人民政府关于印发〈上杭县重点产业高层次人才引进培养暂行办法〉的通知》（杭委〔2016〕5号）的，按照各类层次条件分别给予优先兑现奖励，并在住房、户口迁移、配偶及子女就业入学、医疗、社会保险、项目立项、贷款贴息、专业技术资格聘任等方面予以倾斜支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县委组织部（人才办），县人社局、住建局、公安局、教育局、卫计局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2.优先支持科技小巨人领军企业申报院士工作站、博士后科研工作站和省级博士后创新实践基地。对新建的院士工作站、博士后工作站分别给予一次性奖励50万元。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县科协、县委组织部（人才办）、县人社局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建立健全科研人员双向流动机制，支持高校、科研院所科研骨干带领团队参与科技小巨人领军企业协同创新，并给予科研项目优先立项支持。鼓励国有企事业单位科研人员离岗赴科技小巨人领军企业创业，经同意离岗者可在3 年内保留人事关系，并与原单位其他在岗人员同等享有参加职称评定、社会保险等方面的待遇，3 年内要求返回原单位的，按原职级待遇安排工作。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县人社局、县委编办、经信科技局、教育局、国资局、县委组织部（人才办）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（八）健全金融服务体系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1.优先支持科技小巨人领军企业享受扶持企业进入国内外资本市场的各项政策。县产业发展基金优先对科技小巨人领军企业进行股权投资，采取股权投资方式支持科技小巨人领军企业。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县财政局、经信科技局、发改局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继续支持和动员参加中国创新创业大赛（福建龙岩赛区）暨龙岩市创新创业大赛，加大奖金支持力度，引导创投等社会资源投资科技小巨人领军企业。对代表我县参赛的企业或团队获得国家、省、市创新创业大赛奖励资助的，县财按1：1给予配套奖励资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3.推进银行组建科技专业支行等专营服务机构，建立对培育对象的单独授信评审机制，提供投贷联动金融服务，创新股权质押贷款等各类金融产品。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人行上杭支行、县银监办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政府支持的担保公司优先对科技小巨人领军企业提供融资担保，对于政府支持的担保公司对科技小巨人领军企业的担保业务，县再担保公司可适当提高再担保代偿比例。支持设立科技专业担保公司，优先纳入县再担保公司合作对象范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县经信科技局、金融办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强化科技小巨人领军企业上市、挂牌辅导，支持科技小巨人领军企业改制上市、挂牌融资。对在“新三板”或海峡股权交易中心挂牌，以及在A股主板成功上市的科技小巨人领军企业，按《上杭县人民政府关于进一步推进企业上市和到场外资本市场挂牌融资工作的若干意见》（杭政〔2015〕114号）规定给予补助，并提供相关政策和资金支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县发改局、金融办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（九）完善科技中介服务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1.建设一批涵盖战略咨询、信息服务、创新驿站、技术市场、科技金融、知识产权等的科技中介机构或企业，为科技小巨人领军企业发展提供政策咨询、市场调研与预测等方面的服务。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县经信科技局、发改局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以科技小巨人领军企业发展需求为导向，在全县完善和建设检验检测公共服务平台，加快建设一批国家、省级质检中心和计量测试中心。建设面向科技小巨人领军企业的公共技术服务平台和信息平台，实现各方资源整合与对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县市场监督管理局、经信科技局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四、工作要求</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（一）优化工作机制。</w:t>
            </w:r>
            <w:r>
              <w:rPr>
                <w:rFonts w:hint="eastAsia" w:ascii="宋体" w:hAnsi="宋体" w:eastAsia="宋体" w:cs="宋体"/>
                <w:b w:val="0"/>
                <w:i w:val="0"/>
                <w:caps w:val="0"/>
                <w:color w:val="333333"/>
                <w:spacing w:val="0"/>
                <w:sz w:val="15"/>
                <w:szCs w:val="15"/>
                <w:bdr w:val="none" w:color="auto" w:sz="0" w:space="0"/>
              </w:rPr>
              <w:t>成立以县政府分管领导任组长，县财政局、经信科技局、发改局、商务局、人社局、国税局、地税局等为成员单位的培育科技小巨人领军企业工作领导小组，下设办公室，设在县经信科技局，负责日常事务工作。同时建立由经信科技、发改、财政等部门组成的联席会议制度，及时研究和推动科技小巨人领军企业相关工作。各乡镇人民政府、上杭工业园区管委会、蛟洋工业区管委办根据遴选标准和任务，制定培育计划，确定培育名单，做好培育工作。培育名单和计划每年报送县领导小组办公室。</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县委办、县政府办、县经信科技局、各乡镇人民政府、上杭工业园区管委会、蛟洋工业区管委办、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（二）实行领导挂钩。</w:t>
            </w:r>
            <w:r>
              <w:rPr>
                <w:rFonts w:hint="eastAsia" w:ascii="宋体" w:hAnsi="宋体" w:eastAsia="宋体" w:cs="宋体"/>
                <w:b w:val="0"/>
                <w:i w:val="0"/>
                <w:caps w:val="0"/>
                <w:color w:val="333333"/>
                <w:spacing w:val="0"/>
                <w:sz w:val="15"/>
                <w:szCs w:val="15"/>
                <w:bdr w:val="none" w:color="auto" w:sz="0" w:space="0"/>
              </w:rPr>
              <w:t>实行县领导和县直部门挂钩科技小巨人领军企业制度、重点培育、重点发展，将科技小巨人领军企业发展情况纳入对各级领导班子的考核范围，每年年底要对科技小巨人领军企业培育工作情况进行检查通报。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县委组织部，县经信科技局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（三）营造创新氛围。</w:t>
            </w:r>
            <w:r>
              <w:rPr>
                <w:rFonts w:hint="eastAsia" w:ascii="宋体" w:hAnsi="宋体" w:eastAsia="宋体" w:cs="宋体"/>
                <w:b w:val="0"/>
                <w:i w:val="0"/>
                <w:caps w:val="0"/>
                <w:color w:val="333333"/>
                <w:spacing w:val="0"/>
                <w:sz w:val="15"/>
                <w:szCs w:val="15"/>
                <w:bdr w:val="none" w:color="auto" w:sz="0" w:space="0"/>
              </w:rPr>
              <w:t>各乡镇、各有关部门要通过多种渠道，广泛宣传科技小巨人领军企业创新创业精神，树立创新创业典型，营造浓厚的大众创业、万众创新氛围，加快推动全县产业转型升级，促进上杭经济再上新台阶。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责任单位：</w:t>
            </w:r>
            <w:r>
              <w:rPr>
                <w:rFonts w:hint="eastAsia" w:ascii="宋体" w:hAnsi="宋体" w:eastAsia="宋体" w:cs="宋体"/>
                <w:b w:val="0"/>
                <w:i w:val="0"/>
                <w:caps w:val="0"/>
                <w:color w:val="333333"/>
                <w:spacing w:val="0"/>
                <w:sz w:val="15"/>
                <w:szCs w:val="15"/>
                <w:bdr w:val="none" w:color="auto" w:sz="0" w:space="0"/>
              </w:rPr>
              <w:t>县委宣传部、报道组、县文体广新局、经信科技局，各乡镇人民政府、上杭广播电视台</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本《实施方案》实施期暂定5年，到期根据国家政策情况进行必要调整。原相关政策与本《实施方案》不符的，以本《实施方案》为准。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本《实施方案》由县经信科技局负责解释，从发文之日起执行。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C2102"/>
    <w:rsid w:val="5CCC21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2018-06-06T09:43:00Z</dcterms:created>
  <dc:creator>lenovo</dc:creator>
  <cp:lastModifiedBy>lenovo</cp:lastModifiedBy>
  <dcterms:modified xsi:type="dcterms:W3CDTF">2018-06-06T09:43:55Z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