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6E" w:rsidRPr="006B066E" w:rsidRDefault="006B066E" w:rsidP="006B066E">
      <w:pPr>
        <w:widowControl/>
        <w:shd w:val="clear" w:color="auto" w:fill="FFFFFF"/>
        <w:spacing w:before="100" w:beforeAutospacing="1" w:after="100" w:afterAutospacing="1" w:line="480" w:lineRule="atLeast"/>
        <w:jc w:val="center"/>
        <w:outlineLvl w:val="1"/>
        <w:rPr>
          <w:rFonts w:ascii="微软雅黑" w:eastAsia="微软雅黑" w:hAnsi="微软雅黑" w:cs="宋体"/>
          <w:color w:val="333333"/>
          <w:kern w:val="36"/>
          <w:sz w:val="48"/>
          <w:szCs w:val="48"/>
        </w:rPr>
      </w:pPr>
      <w:bookmarkStart w:id="0" w:name="_GoBack"/>
      <w:r w:rsidRPr="006B066E">
        <w:rPr>
          <w:rFonts w:ascii="微软雅黑" w:eastAsia="微软雅黑" w:hAnsi="微软雅黑" w:cs="宋体" w:hint="eastAsia"/>
          <w:color w:val="333333"/>
          <w:kern w:val="36"/>
          <w:sz w:val="48"/>
          <w:szCs w:val="48"/>
        </w:rPr>
        <w:t xml:space="preserve">共青城高新技术产业园区招商引资政策（暂行） </w:t>
      </w:r>
    </w:p>
    <w:bookmarkEnd w:id="0"/>
    <w:p w:rsidR="006B066E" w:rsidRPr="006B066E" w:rsidRDefault="006B066E" w:rsidP="006B066E">
      <w:pPr>
        <w:widowControl/>
        <w:shd w:val="clear" w:color="auto" w:fill="FFFFFF"/>
        <w:spacing w:before="100" w:beforeAutospacing="1" w:after="100" w:afterAutospacing="1" w:line="450" w:lineRule="atLeast"/>
        <w:jc w:val="center"/>
        <w:rPr>
          <w:rFonts w:ascii="宋体" w:eastAsia="宋体" w:hAnsi="宋体" w:cs="宋体" w:hint="eastAsia"/>
          <w:color w:val="898989"/>
          <w:kern w:val="0"/>
          <w:sz w:val="18"/>
          <w:szCs w:val="18"/>
        </w:rPr>
      </w:pPr>
      <w:r w:rsidRPr="006B066E">
        <w:rPr>
          <w:rFonts w:ascii="宋体" w:eastAsia="宋体" w:hAnsi="宋体" w:cs="宋体" w:hint="eastAsia"/>
          <w:color w:val="898989"/>
          <w:kern w:val="0"/>
          <w:sz w:val="18"/>
          <w:szCs w:val="18"/>
        </w:rPr>
        <w:t xml:space="preserve">发布时间： </w:t>
      </w:r>
      <w:r w:rsidRPr="006B066E">
        <w:rPr>
          <w:rFonts w:ascii="Lucida Sans Unicode" w:eastAsia="宋体" w:hAnsi="Lucida Sans Unicode" w:cs="Lucida Sans Unicode"/>
          <w:color w:val="666666"/>
          <w:kern w:val="0"/>
          <w:sz w:val="18"/>
          <w:szCs w:val="18"/>
        </w:rPr>
        <w:t>2018</w:t>
      </w:r>
      <w:r w:rsidRPr="006B066E">
        <w:rPr>
          <w:rFonts w:ascii="Lucida Sans Unicode" w:eastAsia="宋体" w:hAnsi="Lucida Sans Unicode" w:cs="Lucida Sans Unicode"/>
          <w:color w:val="666666"/>
          <w:kern w:val="0"/>
          <w:sz w:val="18"/>
          <w:szCs w:val="18"/>
        </w:rPr>
        <w:t>年</w:t>
      </w:r>
      <w:r w:rsidRPr="006B066E">
        <w:rPr>
          <w:rFonts w:ascii="Lucida Sans Unicode" w:eastAsia="宋体" w:hAnsi="Lucida Sans Unicode" w:cs="Lucida Sans Unicode"/>
          <w:color w:val="666666"/>
          <w:kern w:val="0"/>
          <w:sz w:val="18"/>
          <w:szCs w:val="18"/>
        </w:rPr>
        <w:t>05</w:t>
      </w:r>
      <w:r w:rsidRPr="006B066E">
        <w:rPr>
          <w:rFonts w:ascii="Lucida Sans Unicode" w:eastAsia="宋体" w:hAnsi="Lucida Sans Unicode" w:cs="Lucida Sans Unicode"/>
          <w:color w:val="666666"/>
          <w:kern w:val="0"/>
          <w:sz w:val="18"/>
          <w:szCs w:val="18"/>
        </w:rPr>
        <w:t>月</w:t>
      </w:r>
      <w:r w:rsidRPr="006B066E">
        <w:rPr>
          <w:rFonts w:ascii="Lucida Sans Unicode" w:eastAsia="宋体" w:hAnsi="Lucida Sans Unicode" w:cs="Lucida Sans Unicode"/>
          <w:color w:val="666666"/>
          <w:kern w:val="0"/>
          <w:sz w:val="18"/>
          <w:szCs w:val="18"/>
        </w:rPr>
        <w:t>09</w:t>
      </w:r>
      <w:r w:rsidRPr="006B066E">
        <w:rPr>
          <w:rFonts w:ascii="Lucida Sans Unicode" w:eastAsia="宋体" w:hAnsi="Lucida Sans Unicode" w:cs="Lucida Sans Unicode"/>
          <w:color w:val="666666"/>
          <w:kern w:val="0"/>
          <w:sz w:val="18"/>
          <w:szCs w:val="18"/>
        </w:rPr>
        <w:t>日</w:t>
      </w:r>
      <w:r w:rsidRPr="006B066E">
        <w:rPr>
          <w:rFonts w:ascii="宋体" w:eastAsia="宋体" w:hAnsi="宋体" w:cs="宋体" w:hint="eastAsia"/>
          <w:color w:val="898989"/>
          <w:kern w:val="0"/>
          <w:sz w:val="18"/>
          <w:szCs w:val="18"/>
        </w:rPr>
        <w:t xml:space="preserve">     来源：共</w:t>
      </w:r>
      <w:proofErr w:type="gramStart"/>
      <w:r w:rsidRPr="006B066E">
        <w:rPr>
          <w:rFonts w:ascii="宋体" w:eastAsia="宋体" w:hAnsi="宋体" w:cs="宋体" w:hint="eastAsia"/>
          <w:color w:val="898989"/>
          <w:kern w:val="0"/>
          <w:sz w:val="18"/>
          <w:szCs w:val="18"/>
        </w:rPr>
        <w:t>青城市</w:t>
      </w:r>
      <w:proofErr w:type="gramEnd"/>
      <w:r w:rsidRPr="006B066E">
        <w:rPr>
          <w:rFonts w:ascii="宋体" w:eastAsia="宋体" w:hAnsi="宋体" w:cs="宋体" w:hint="eastAsia"/>
          <w:color w:val="898989"/>
          <w:kern w:val="0"/>
          <w:sz w:val="18"/>
          <w:szCs w:val="18"/>
        </w:rPr>
        <w:t>商务局</w:t>
      </w:r>
      <w:r w:rsidRPr="006B066E">
        <w:rPr>
          <w:rFonts w:ascii="宋体" w:eastAsia="宋体" w:hAnsi="宋体" w:cs="宋体" w:hint="eastAsia"/>
          <w:color w:val="898989"/>
          <w:kern w:val="0"/>
          <w:sz w:val="18"/>
          <w:szCs w:val="18"/>
        </w:rPr>
        <w:br/>
        <w:t>【字体：大 中 小】</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为深入贯彻落实省、九江市有关决策部署以及市委二届三次全会会议精神，抢抓赣江新区发展机遇，切实推进招商引资“头号工程”，大力实施“重大项目落实年”活动。特制订如下政策：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第一章 税收政策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第一条  对于年纳税额（含企业增值税、所得税和增值税附加，下同）低于5万/亩的（租赁厂房为50万/</w:t>
      </w:r>
      <w:proofErr w:type="gramStart"/>
      <w:r w:rsidRPr="006B066E">
        <w:rPr>
          <w:rFonts w:ascii="宋体" w:eastAsia="宋体" w:hAnsi="宋体" w:cs="宋体" w:hint="eastAsia"/>
          <w:color w:val="333333"/>
          <w:kern w:val="0"/>
          <w:szCs w:val="21"/>
        </w:rPr>
        <w:t>万平方米</w:t>
      </w:r>
      <w:proofErr w:type="gramEnd"/>
      <w:r w:rsidRPr="006B066E">
        <w:rPr>
          <w:rFonts w:ascii="宋体" w:eastAsia="宋体" w:hAnsi="宋体" w:cs="宋体" w:hint="eastAsia"/>
          <w:color w:val="333333"/>
          <w:kern w:val="0"/>
          <w:szCs w:val="21"/>
        </w:rPr>
        <w:t>）的新入驻工业企业，自纳税年度起5年内，其年缴纳企业所得税的地方留成部分，按100%的比例予以奖励；年纳税额超过5万/亩的，增加2年；被认定为高新技术企业的，增加2年。</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第二条  项目自土地出让之日起4年内，按企业缴纳的土地使用税100%的比例，从工业发展扶持资金中给予等额的奖励。经依法认定为闲置用地的不予以奖励。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（第一条、第二条牵头单位：全国青年创业基地服务局）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第二章 财政政策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第三条  设立企业上台阶奖。新入驻工业企业年缴纳增值税首次突破500万元（含）、1000万元（含）、1500万元（含）、2000万元（含）的，分别奖励150万元、300万元、450万元、700万元。其中，奖励资金总额的50%须用于奖励企业管理层人员。</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第四条  对生产型企业年度外贸出口在1000万美元（含）以内的部分，每1美元奖励0.02元人民币；外贸出口在1000万美元以上的部分，每1美元奖励0.03元人民币。</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第五条  对企业年度实现现汇进资1000万美元以下的部分，每1美元奖励0.04元；年度实现现汇进资1000万美元（含）以上的部分，每1美元奖励0.06元。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第六条  园区企业资产转让产生的税费地方留成部分在新企业认定为规模以上企业后全额奖励给新企业。</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（第三条至第六条牵头单位：全国青年创业基地服务局）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第七条  对新上规模工业企业给予5万元奖励，其中投产当年上规模企业奖励10万元。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第八条  对工业企业较上年度主营业务收入增长1亿元—10亿元（含）的，每增长1亿元奖励1万元；主营业务收入增长在10亿元—100亿元（含）的，每增长10亿元奖励15万元；100亿元以上的，另行奖励。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第九条  对新认定的高新技术企业，一次性给予企业30万元的奖励。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第十条  对新认定为中国驰名商标、江西省著名商标的企业，分别给予50万元和5万元的奖励。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第十一条  对国家级、省级院士工作站分别给予80万元、50万元的奖励；对国家级、省级博士科研工作站，分别给予50万元、20万元的奖励。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第十二条  对新认定为国家级、省级、九江市级质量奖的企业，分别给予50万元、20万元、5万元的奖励；对新评为国家重点新产品、省优秀新产品或省重点新产品，分别一次性给予企业20万元、5万元的奖励。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第十三条  对新认定为国家、省、九江市企业工程技术研究中心的企业，分别给予100万元、60万元、10万元的奖励；对新认定为国家、省、九江市企业技术中心的企业，分别给予50万元、30万元、10万元的奖励。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第十四条  对新认定为国家、省、九江市科技企业孵化器的企业，分别给予20万元、10万元、5万元的一次性奖励；对新认定为国家、省、九江</w:t>
      </w:r>
      <w:proofErr w:type="gramStart"/>
      <w:r w:rsidRPr="006B066E">
        <w:rPr>
          <w:rFonts w:ascii="宋体" w:eastAsia="宋体" w:hAnsi="宋体" w:cs="宋体" w:hint="eastAsia"/>
          <w:color w:val="333333"/>
          <w:kern w:val="0"/>
          <w:szCs w:val="21"/>
        </w:rPr>
        <w:t>市众创</w:t>
      </w:r>
      <w:proofErr w:type="gramEnd"/>
      <w:r w:rsidRPr="006B066E">
        <w:rPr>
          <w:rFonts w:ascii="宋体" w:eastAsia="宋体" w:hAnsi="宋体" w:cs="宋体" w:hint="eastAsia"/>
          <w:color w:val="333333"/>
          <w:kern w:val="0"/>
          <w:szCs w:val="21"/>
        </w:rPr>
        <w:t>空间、</w:t>
      </w:r>
      <w:proofErr w:type="gramStart"/>
      <w:r w:rsidRPr="006B066E">
        <w:rPr>
          <w:rFonts w:ascii="宋体" w:eastAsia="宋体" w:hAnsi="宋体" w:cs="宋体" w:hint="eastAsia"/>
          <w:color w:val="333333"/>
          <w:kern w:val="0"/>
          <w:szCs w:val="21"/>
        </w:rPr>
        <w:t>星创天地</w:t>
      </w:r>
      <w:proofErr w:type="gramEnd"/>
      <w:r w:rsidRPr="006B066E">
        <w:rPr>
          <w:rFonts w:ascii="宋体" w:eastAsia="宋体" w:hAnsi="宋体" w:cs="宋体" w:hint="eastAsia"/>
          <w:color w:val="333333"/>
          <w:kern w:val="0"/>
          <w:szCs w:val="21"/>
        </w:rPr>
        <w:t>等</w:t>
      </w:r>
      <w:proofErr w:type="gramStart"/>
      <w:r w:rsidRPr="006B066E">
        <w:rPr>
          <w:rFonts w:ascii="宋体" w:eastAsia="宋体" w:hAnsi="宋体" w:cs="宋体" w:hint="eastAsia"/>
          <w:color w:val="333333"/>
          <w:kern w:val="0"/>
          <w:szCs w:val="21"/>
        </w:rPr>
        <w:t>众创空间</w:t>
      </w:r>
      <w:proofErr w:type="gramEnd"/>
      <w:r w:rsidRPr="006B066E">
        <w:rPr>
          <w:rFonts w:ascii="宋体" w:eastAsia="宋体" w:hAnsi="宋体" w:cs="宋体" w:hint="eastAsia"/>
          <w:color w:val="333333"/>
          <w:kern w:val="0"/>
          <w:szCs w:val="21"/>
        </w:rPr>
        <w:t>平台的企业，分别给予10万元、5万元、3万元的一次性奖励。</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第十五条  企业在拿到发明专利、实用新型专利、外观设计专利授权通知书后分别给予10000元、2000元和1000元补助。对上年度代理本市专利申请量在200件以上的科技服务业企业，给予5万元的一次性奖励。对新获批的国家级、省级创新人才和团队，分别给予15万元和5万元的资金支持。</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（第七条至第十五条牵头单位：科技工贸和信息化委员会）</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第十六条  工业项目涉及本区域内的行政事业性收费地方收入部分予以减免。</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（牵头单位：各职能部门）</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第十七条  对获得国家和省、市有关部门、单位联合组织的创业大赛奖项并在我市登记注册经营的创业项目，给予一定额度的资助，其中获得国家级大赛奖项的，每个项目给予10万元-20万元；获得省级大赛前三名的，每个项目给予5万元-10万元；获得九江市级大赛前三名的，每个项目给予1万元-5万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（牵头单位：团市委）</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第三章 用地政策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第十八条  工业项目用地按11.2万元/</w:t>
      </w:r>
      <w:proofErr w:type="gramStart"/>
      <w:r w:rsidRPr="006B066E">
        <w:rPr>
          <w:rFonts w:ascii="宋体" w:eastAsia="宋体" w:hAnsi="宋体" w:cs="宋体" w:hint="eastAsia"/>
          <w:color w:val="333333"/>
          <w:kern w:val="0"/>
          <w:szCs w:val="21"/>
        </w:rPr>
        <w:t>亩依法</w:t>
      </w:r>
      <w:proofErr w:type="gramEnd"/>
      <w:r w:rsidRPr="006B066E">
        <w:rPr>
          <w:rFonts w:ascii="宋体" w:eastAsia="宋体" w:hAnsi="宋体" w:cs="宋体" w:hint="eastAsia"/>
          <w:color w:val="333333"/>
          <w:kern w:val="0"/>
          <w:szCs w:val="21"/>
        </w:rPr>
        <w:t>挂牌出让，投资强度不低于260万/亩。</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（牵头单位：国土资源局）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第十九条  凡新入驻的工业项目按照合同</w:t>
      </w:r>
      <w:proofErr w:type="gramStart"/>
      <w:r w:rsidRPr="006B066E">
        <w:rPr>
          <w:rFonts w:ascii="宋体" w:eastAsia="宋体" w:hAnsi="宋体" w:cs="宋体" w:hint="eastAsia"/>
          <w:color w:val="333333"/>
          <w:kern w:val="0"/>
          <w:szCs w:val="21"/>
        </w:rPr>
        <w:t>约定投产</w:t>
      </w:r>
      <w:proofErr w:type="gramEnd"/>
      <w:r w:rsidRPr="006B066E">
        <w:rPr>
          <w:rFonts w:ascii="宋体" w:eastAsia="宋体" w:hAnsi="宋体" w:cs="宋体" w:hint="eastAsia"/>
          <w:color w:val="333333"/>
          <w:kern w:val="0"/>
          <w:szCs w:val="21"/>
        </w:rPr>
        <w:t>后，按2万/亩的标准给予等额的资金奖励；企业认定为规模以上企业后，按2万/亩的标准给予等额的资金奖励；企业认定为高新技术企业后，按3万/亩的标准给予等额的资金奖励。本条内奖励可累加享受。</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第二十条  租赁厂房的企业自认定为规模以上企业起3年内，可按企业当年实际缴纳增值税地方留成部分20%的比例给予企业等额的厂房租金补贴，补贴金额不高于企业实缴厂房租金，高新技术企业可增加3年。</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第二十一条  引进园区配套的生产型服务业项目连续3年纳税（不含土地使用税和房产税）且年均纳税额超过10万元的，可按年均纳税额10万元/亩的标准申请用地（不超过10亩），并颁发工业用地不动产权证书。建筑业项目连续3年年均纳税达到800万元以上可按不超过5亩/家的标准供地，可颁发工业用地不动产权证书。</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（第十九条至第二十一条牵头单位：全国青年创业基地服务局）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第四章 金融政策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第二十二条  工业企业在区域性股权交易市场成功挂牌的，每户一次性补助6万元；在新三板成功挂牌的，每户一次性补助50万元，如被上市公司并购，每户一次性再补助200万元；对在上海、深圳及境外证券交易所上市的，每户一次性补助500万元，并争取上级补助750万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第二十三条  鼓励银行业金融机构通过贷款重组、信贷资产证券化方式盘活信贷资源，综合运用票据、信托、委托贷款、银团贷款、融资租赁、证券资产管理、财富管理等产品，扩大业务规模；鼓励探索开展商标、专利、政府采购订单、应收账款、仓储质押、三方联保、股权质押、品牌使用权质押、动产质押、存货质押、无形资产质押、人寿保单质押、专利权质押、进口货权质押等质（抵）押贷款；拓宽“财园信贷通”支持范围，对当地经济发展有贡献、有市场、有订单、有潜力的企业，可纳入“财园信贷通”政策支持范围。</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第二十四条  充分发挥共</w:t>
      </w:r>
      <w:proofErr w:type="gramStart"/>
      <w:r w:rsidRPr="006B066E">
        <w:rPr>
          <w:rFonts w:ascii="宋体" w:eastAsia="宋体" w:hAnsi="宋体" w:cs="宋体" w:hint="eastAsia"/>
          <w:color w:val="333333"/>
          <w:kern w:val="0"/>
          <w:szCs w:val="21"/>
        </w:rPr>
        <w:t>青城市</w:t>
      </w:r>
      <w:proofErr w:type="gramEnd"/>
      <w:r w:rsidRPr="006B066E">
        <w:rPr>
          <w:rFonts w:ascii="宋体" w:eastAsia="宋体" w:hAnsi="宋体" w:cs="宋体" w:hint="eastAsia"/>
          <w:color w:val="333333"/>
          <w:kern w:val="0"/>
          <w:szCs w:val="21"/>
        </w:rPr>
        <w:t>产业引导基金作用，由金融办牵头利用私募基金创新园的优势，通过基金参股、吸引社会化资本参股、并购重组的方式帮助企业落户、拓宽企业融资渠道。</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第二十五条  建立</w:t>
      </w:r>
      <w:proofErr w:type="gramStart"/>
      <w:r w:rsidRPr="006B066E">
        <w:rPr>
          <w:rFonts w:ascii="宋体" w:eastAsia="宋体" w:hAnsi="宋体" w:cs="宋体" w:hint="eastAsia"/>
          <w:color w:val="333333"/>
          <w:kern w:val="0"/>
          <w:szCs w:val="21"/>
        </w:rPr>
        <w:t>银行抽贷定期</w:t>
      </w:r>
      <w:proofErr w:type="gramEnd"/>
      <w:r w:rsidRPr="006B066E">
        <w:rPr>
          <w:rFonts w:ascii="宋体" w:eastAsia="宋体" w:hAnsi="宋体" w:cs="宋体" w:hint="eastAsia"/>
          <w:color w:val="333333"/>
          <w:kern w:val="0"/>
          <w:szCs w:val="21"/>
        </w:rPr>
        <w:t>报告制度，银行抽离企业贷款额度超过1000万元（中小</w:t>
      </w:r>
      <w:proofErr w:type="gramStart"/>
      <w:r w:rsidRPr="006B066E">
        <w:rPr>
          <w:rFonts w:ascii="宋体" w:eastAsia="宋体" w:hAnsi="宋体" w:cs="宋体" w:hint="eastAsia"/>
          <w:color w:val="333333"/>
          <w:kern w:val="0"/>
          <w:szCs w:val="21"/>
        </w:rPr>
        <w:t>微企业</w:t>
      </w:r>
      <w:proofErr w:type="gramEnd"/>
      <w:r w:rsidRPr="006B066E">
        <w:rPr>
          <w:rFonts w:ascii="宋体" w:eastAsia="宋体" w:hAnsi="宋体" w:cs="宋体" w:hint="eastAsia"/>
          <w:color w:val="333333"/>
          <w:kern w:val="0"/>
          <w:szCs w:val="21"/>
        </w:rPr>
        <w:t>500万元）以上或占企业未到期贷款50%以上，要及时向市政府报告，市政府组织相关部门与银行协调。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（第二十二条至第二十五条牵头单位：金融办）</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第五章 人才政策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第二十六条  对企事业单位引进的专职两院院士，给予200万元创新创业支持，每月给予1万元学术补助。对领军人才，国家“千人计划”人选，国家级重点学科、重点实验室、工程技术研究中心学术技术带头人、“百千万人才工程”国家级人选、长江学者或相当层次的人才，给予100万元创新创业支持，每月给予5000元学术补助。凡属我市引进的两院院士和经济社会发展急需的各类专家，经市人才工作领导小组同意聘请为特聘专家的，颁发特聘专家证，给予每人5万元以上的特聘补贴，由人才发展专项资金和用人单位各负担50%。</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第二十七条  对企业引进的博士研究生或高级职称的专业技术人才，连续5年每月给予1000元生活补贴，免费入住市人才公寓。工作满两年以上的，一次性给予10万元补助。对企业引进的高级管理人才或中级职称及以上的专业技术人员，连续10年按每年缴纳个人所得税地方留成部分的100％给予奖励，由政府提供公共租赁房或人才公寓。</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第二十八条  支持企业申报国家“千人计划”、省“赣</w:t>
      </w:r>
      <w:proofErr w:type="gramStart"/>
      <w:r w:rsidRPr="006B066E">
        <w:rPr>
          <w:rFonts w:ascii="宋体" w:eastAsia="宋体" w:hAnsi="宋体" w:cs="宋体" w:hint="eastAsia"/>
          <w:color w:val="333333"/>
          <w:kern w:val="0"/>
          <w:szCs w:val="21"/>
        </w:rPr>
        <w:t>鄱</w:t>
      </w:r>
      <w:proofErr w:type="gramEnd"/>
      <w:r w:rsidRPr="006B066E">
        <w:rPr>
          <w:rFonts w:ascii="宋体" w:eastAsia="宋体" w:hAnsi="宋体" w:cs="宋体" w:hint="eastAsia"/>
          <w:color w:val="333333"/>
          <w:kern w:val="0"/>
          <w:szCs w:val="21"/>
        </w:rPr>
        <w:t>英才555工程”、九江市“双百.双千“人才工程等人才工程。鼓励企业申报设立院士、博士后科研工作站，组建工程技术研究中心、重点实验室和企业技术中心。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（第二十六至第二十八条责任单位：人才办）</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第六章 用工政策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第二十九条  对在企业入职并签订6个月以上劳动合同的稳定新员工，通过企业开展自主培训，给予300元/人·年的培训补贴；符合技能人才、高技能人才培训要求的，经上级主管部门检查验收并认定合格的，根据政策给予企业600-3000元/人·年的培训补贴。</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（牵头单位：人力资源和社会保障局）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第三十条  凡在园区企业务工满3年的人员，且连续缴纳社保2年以上，本人及家庭成员无自有住房或未享有政策性住房的，可享受保障性住房政策。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（牵头单位：城乡建设和交通运输局）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第三十一条  企业投资商和外来务工人员，可按规定自愿办理我市户口，子女可凭商务局证明就近入学，享受本市居民子女同等待遇。</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（牵头单位：教育和体育局）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第七章 服务政策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第三十二条  建立重大项目“绿色通道”和“限时办结”制度。坚持“谁引进、谁帮扶”的原则，落实引进人全程责任制，由引进单位全程协调服务，能代办的给予代办，不能代办的给予协办，强力推进项目早开工、早投产。项目投产后，由全国青年创业基地服务局跟进帮扶。</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（牵头单位：各相关单位、全国青年创业基地服务局）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第三十三条  全国青年创业基地（简称“园区”）实行“封闭式管理、开放式运行、全程式服务”，园区内的土地及工业项目用地，由园区服务局实行统一规划，统一开发。凡入驻园区的工业项目享受“七通一平”(通电、通水、通路、通电话、通网络、通天然气、通电视至企业用地红线外规划地点，按照企业要求并结合用地规划进行平整)。</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（牵头单位：全国青年创业基地服务局）</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第三十四条  清理规范行政事业性收费，严禁行业协会商会利用行政资源强制向企业收取费用行为，严禁以各种方式强制企业赞助捐赠、订购报刊、参加培训、加入社团、指定服务。</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（牵头单位：行政服务中心）</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第八章 其他</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第三十五条  用水价格</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w:t>
      </w:r>
    </w:p>
    <w:tbl>
      <w:tblPr>
        <w:tblW w:w="0" w:type="auto"/>
        <w:jc w:val="center"/>
        <w:tblCellMar>
          <w:left w:w="0" w:type="dxa"/>
          <w:right w:w="0" w:type="dxa"/>
        </w:tblCellMar>
        <w:tblLook w:val="04A0" w:firstRow="1" w:lastRow="0" w:firstColumn="1" w:lastColumn="0" w:noHBand="0" w:noVBand="1"/>
      </w:tblPr>
      <w:tblGrid>
        <w:gridCol w:w="1992"/>
        <w:gridCol w:w="1611"/>
        <w:gridCol w:w="2558"/>
        <w:gridCol w:w="2125"/>
      </w:tblGrid>
      <w:tr w:rsidR="006B066E" w:rsidRPr="006B066E" w:rsidTr="006B066E">
        <w:trPr>
          <w:trHeight w:val="1005"/>
          <w:jc w:val="center"/>
        </w:trPr>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用水分类</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单价</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（元/吨）</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污水处理费</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（元/吨）</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垃圾处理费</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（元/户）</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585"/>
          <w:jc w:val="center"/>
        </w:trPr>
        <w:tc>
          <w:tcPr>
            <w:tcW w:w="2160" w:type="dxa"/>
            <w:vMerge w:val="restar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居民生活用水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vMerge w:val="restar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1.2</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50吨内0.8</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vMerge w:val="restar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5</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405"/>
          <w:jc w:val="center"/>
        </w:trPr>
        <w:tc>
          <w:tcPr>
            <w:tcW w:w="0" w:type="auto"/>
            <w:vMerge/>
            <w:tcBorders>
              <w:top w:val="outset" w:sz="6" w:space="0" w:color="000000"/>
              <w:left w:val="single" w:sz="8" w:space="0" w:color="auto"/>
              <w:bottom w:val="single" w:sz="8" w:space="0" w:color="auto"/>
              <w:right w:val="single" w:sz="8" w:space="0" w:color="auto"/>
            </w:tcBorders>
            <w:vAlign w:val="center"/>
            <w:hideMark/>
          </w:tcPr>
          <w:p w:rsidR="006B066E" w:rsidRPr="006B066E" w:rsidRDefault="006B066E" w:rsidP="006B066E">
            <w:pPr>
              <w:widowControl/>
              <w:jc w:val="left"/>
              <w:rPr>
                <w:rFonts w:ascii="微软雅黑" w:eastAsia="微软雅黑" w:hAnsi="微软雅黑" w:cs="宋体"/>
                <w:color w:val="333333"/>
                <w:kern w:val="0"/>
                <w:sz w:val="20"/>
                <w:szCs w:val="20"/>
              </w:rPr>
            </w:pPr>
          </w:p>
        </w:tc>
        <w:tc>
          <w:tcPr>
            <w:tcW w:w="0" w:type="auto"/>
            <w:vMerge/>
            <w:tcBorders>
              <w:top w:val="outset" w:sz="6" w:space="0" w:color="000000"/>
              <w:left w:val="outset" w:sz="6" w:space="0" w:color="000000"/>
              <w:bottom w:val="single" w:sz="8" w:space="0" w:color="auto"/>
              <w:right w:val="single" w:sz="8" w:space="0" w:color="auto"/>
            </w:tcBorders>
            <w:vAlign w:val="center"/>
            <w:hideMark/>
          </w:tcPr>
          <w:p w:rsidR="006B066E" w:rsidRPr="006B066E" w:rsidRDefault="006B066E" w:rsidP="006B066E">
            <w:pPr>
              <w:widowControl/>
              <w:jc w:val="left"/>
              <w:rPr>
                <w:rFonts w:ascii="微软雅黑" w:eastAsia="微软雅黑" w:hAnsi="微软雅黑" w:cs="宋体"/>
                <w:color w:val="333333"/>
                <w:kern w:val="0"/>
                <w:sz w:val="20"/>
                <w:szCs w:val="20"/>
              </w:rPr>
            </w:pP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超过50吨的部分1.0</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0" w:type="auto"/>
            <w:vMerge/>
            <w:tcBorders>
              <w:top w:val="outset" w:sz="6" w:space="0" w:color="000000"/>
              <w:left w:val="outset" w:sz="6" w:space="0" w:color="000000"/>
              <w:bottom w:val="single" w:sz="8" w:space="0" w:color="auto"/>
              <w:right w:val="single" w:sz="8" w:space="0" w:color="auto"/>
            </w:tcBorders>
            <w:vAlign w:val="center"/>
            <w:hideMark/>
          </w:tcPr>
          <w:p w:rsidR="006B066E" w:rsidRPr="006B066E" w:rsidRDefault="006B066E" w:rsidP="006B066E">
            <w:pPr>
              <w:widowControl/>
              <w:jc w:val="left"/>
              <w:rPr>
                <w:rFonts w:ascii="微软雅黑" w:eastAsia="微软雅黑" w:hAnsi="微软雅黑" w:cs="宋体"/>
                <w:color w:val="333333"/>
                <w:kern w:val="0"/>
                <w:sz w:val="20"/>
                <w:szCs w:val="20"/>
              </w:rPr>
            </w:pPr>
          </w:p>
        </w:tc>
      </w:tr>
      <w:tr w:rsidR="006B066E" w:rsidRPr="006B066E" w:rsidTr="006B066E">
        <w:trPr>
          <w:trHeight w:val="405"/>
          <w:jc w:val="center"/>
        </w:trPr>
        <w:tc>
          <w:tcPr>
            <w:tcW w:w="216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工业用水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0.8</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405"/>
          <w:jc w:val="center"/>
        </w:trPr>
        <w:tc>
          <w:tcPr>
            <w:tcW w:w="216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lastRenderedPageBreak/>
              <w:t>园区工业用水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1.31</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1.91</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405"/>
          <w:jc w:val="center"/>
        </w:trPr>
        <w:tc>
          <w:tcPr>
            <w:tcW w:w="216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商业基建用水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2.0</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1.0</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405"/>
          <w:jc w:val="center"/>
        </w:trPr>
        <w:tc>
          <w:tcPr>
            <w:tcW w:w="216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行政办公用水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1.5</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0.9</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trHeight w:val="405"/>
          <w:jc w:val="center"/>
        </w:trPr>
        <w:tc>
          <w:tcPr>
            <w:tcW w:w="216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特种行业用水</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71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5.0</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76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1.1</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228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bl>
    <w:p w:rsidR="006B066E" w:rsidRPr="006B066E" w:rsidRDefault="006B066E" w:rsidP="006B066E">
      <w:pPr>
        <w:widowControl/>
        <w:shd w:val="clear" w:color="auto" w:fill="FFFFFF"/>
        <w:spacing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w:t>
      </w:r>
    </w:p>
    <w:p w:rsidR="006B066E" w:rsidRPr="006B066E" w:rsidRDefault="006B066E" w:rsidP="006B066E">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w:t>
      </w:r>
    </w:p>
    <w:p w:rsidR="006B066E" w:rsidRPr="006B066E" w:rsidRDefault="006B066E" w:rsidP="006B066E">
      <w:pPr>
        <w:widowControl/>
        <w:shd w:val="clear" w:color="auto" w:fill="FFFFFF"/>
        <w:spacing w:before="225" w:line="525" w:lineRule="atLeast"/>
        <w:ind w:firstLine="640"/>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第三十六条 用电价格</w:t>
      </w:r>
      <w:r w:rsidRPr="006B066E">
        <w:rPr>
          <w:rFonts w:ascii="仿宋_GB2312" w:eastAsia="仿宋_GB2312" w:hAnsi="宋体" w:cs="宋体" w:hint="eastAsia"/>
          <w:color w:val="333333"/>
          <w:kern w:val="0"/>
          <w:sz w:val="32"/>
          <w:szCs w:val="32"/>
        </w:rPr>
        <w:t> </w:t>
      </w:r>
      <w:r w:rsidRPr="006B066E">
        <w:rPr>
          <w:rFonts w:ascii="仿宋_GB2312" w:eastAsia="仿宋_GB2312" w:hAnsi="宋体" w:cs="宋体" w:hint="eastAsia"/>
          <w:color w:val="333333"/>
          <w:kern w:val="0"/>
          <w:sz w:val="32"/>
          <w:szCs w:val="32"/>
        </w:rPr>
        <w:t xml:space="preserve"> </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w:t>
      </w:r>
    </w:p>
    <w:tbl>
      <w:tblPr>
        <w:tblW w:w="0" w:type="auto"/>
        <w:jc w:val="center"/>
        <w:tblCellMar>
          <w:left w:w="0" w:type="dxa"/>
          <w:right w:w="0" w:type="dxa"/>
        </w:tblCellMar>
        <w:tblLook w:val="04A0" w:firstRow="1" w:lastRow="0" w:firstColumn="1" w:lastColumn="0" w:noHBand="0" w:noVBand="1"/>
      </w:tblPr>
      <w:tblGrid>
        <w:gridCol w:w="1636"/>
        <w:gridCol w:w="858"/>
        <w:gridCol w:w="952"/>
        <w:gridCol w:w="1011"/>
        <w:gridCol w:w="847"/>
        <w:gridCol w:w="988"/>
        <w:gridCol w:w="909"/>
        <w:gridCol w:w="1085"/>
      </w:tblGrid>
      <w:tr w:rsidR="006B066E" w:rsidRPr="006B066E" w:rsidTr="006B066E">
        <w:trPr>
          <w:jc w:val="center"/>
        </w:trPr>
        <w:tc>
          <w:tcPr>
            <w:tcW w:w="19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用电分类</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5790" w:type="dxa"/>
            <w:gridSpan w:val="6"/>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电度电价（元/度）</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4"/>
                <w:szCs w:val="24"/>
              </w:rPr>
              <w:t>基本电价</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066E" w:rsidRPr="006B066E" w:rsidRDefault="006B066E" w:rsidP="006B066E">
            <w:pPr>
              <w:widowControl/>
              <w:jc w:val="left"/>
              <w:rPr>
                <w:rFonts w:ascii="微软雅黑" w:eastAsia="微软雅黑" w:hAnsi="微软雅黑" w:cs="宋体"/>
                <w:color w:val="333333"/>
                <w:kern w:val="0"/>
                <w:sz w:val="20"/>
                <w:szCs w:val="20"/>
              </w:rPr>
            </w:pPr>
          </w:p>
        </w:tc>
        <w:tc>
          <w:tcPr>
            <w:tcW w:w="87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&lt;1KV</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lastRenderedPageBreak/>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lastRenderedPageBreak/>
              <w:t>1-10KV</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lastRenderedPageBreak/>
              <w:t xml:space="preserve">　　</w:t>
            </w:r>
          </w:p>
        </w:tc>
        <w:tc>
          <w:tcPr>
            <w:tcW w:w="106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lastRenderedPageBreak/>
              <w:t>35-100KV</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lastRenderedPageBreak/>
              <w:t xml:space="preserve">　　</w:t>
            </w:r>
          </w:p>
        </w:tc>
        <w:tc>
          <w:tcPr>
            <w:tcW w:w="85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lastRenderedPageBreak/>
              <w:t>110KV</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lastRenderedPageBreak/>
              <w:t xml:space="preserve">　　</w:t>
            </w:r>
          </w:p>
        </w:tc>
        <w:tc>
          <w:tcPr>
            <w:tcW w:w="103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微软雅黑" w:hint="eastAsia"/>
                <w:color w:val="333333"/>
                <w:kern w:val="0"/>
                <w:sz w:val="20"/>
                <w:szCs w:val="20"/>
              </w:rPr>
              <w:lastRenderedPageBreak/>
              <w:t>≧</w:t>
            </w:r>
            <w:r w:rsidRPr="006B066E">
              <w:rPr>
                <w:rFonts w:ascii="仿宋_GB2312" w:eastAsia="仿宋_GB2312" w:hAnsi="微软雅黑" w:cs="宋体" w:hint="eastAsia"/>
                <w:color w:val="333333"/>
                <w:kern w:val="0"/>
                <w:sz w:val="20"/>
                <w:szCs w:val="20"/>
              </w:rPr>
              <w:t>220KV</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lastRenderedPageBreak/>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3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lastRenderedPageBreak/>
              <w:t>最大需量（元</w:t>
            </w:r>
            <w:r w:rsidRPr="006B066E">
              <w:rPr>
                <w:rFonts w:ascii="仿宋_GB2312" w:eastAsia="仿宋_GB2312" w:hAnsi="微软雅黑" w:cs="宋体" w:hint="eastAsia"/>
                <w:color w:val="333333"/>
                <w:kern w:val="0"/>
                <w:sz w:val="20"/>
                <w:szCs w:val="20"/>
              </w:rPr>
              <w:lastRenderedPageBreak/>
              <w:t>/千瓦</w:t>
            </w:r>
            <w:r w:rsidRPr="006B066E">
              <w:rPr>
                <w:rFonts w:ascii="宋体" w:eastAsia="宋体" w:hAnsi="宋体" w:cs="宋体" w:hint="eastAsia"/>
                <w:color w:val="333333"/>
                <w:kern w:val="0"/>
                <w:sz w:val="20"/>
                <w:szCs w:val="20"/>
              </w:rPr>
              <w:t>•</w:t>
            </w:r>
            <w:r w:rsidRPr="006B066E">
              <w:rPr>
                <w:rFonts w:ascii="仿宋_GB2312" w:eastAsia="仿宋_GB2312" w:hAnsi="仿宋_GB2312" w:cs="仿宋_GB2312" w:hint="eastAsia"/>
                <w:color w:val="333333"/>
                <w:kern w:val="0"/>
                <w:sz w:val="20"/>
                <w:szCs w:val="20"/>
              </w:rPr>
              <w:t>月</w:t>
            </w:r>
            <w:r w:rsidRPr="006B066E">
              <w:rPr>
                <w:rFonts w:ascii="仿宋_GB2312" w:eastAsia="仿宋_GB2312" w:hAnsi="微软雅黑" w:cs="宋体" w:hint="eastAsia"/>
                <w:color w:val="333333"/>
                <w:kern w:val="0"/>
                <w:sz w:val="20"/>
                <w:szCs w:val="20"/>
              </w:rPr>
              <w:t>）</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3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lastRenderedPageBreak/>
              <w:t>变压器容量（元/</w:t>
            </w:r>
            <w:proofErr w:type="gramStart"/>
            <w:r w:rsidRPr="006B066E">
              <w:rPr>
                <w:rFonts w:ascii="仿宋_GB2312" w:eastAsia="仿宋_GB2312" w:hAnsi="微软雅黑" w:cs="宋体" w:hint="eastAsia"/>
                <w:color w:val="333333"/>
                <w:kern w:val="0"/>
                <w:sz w:val="20"/>
                <w:szCs w:val="20"/>
              </w:rPr>
              <w:lastRenderedPageBreak/>
              <w:t>千伏安</w:t>
            </w:r>
            <w:proofErr w:type="gramEnd"/>
            <w:r w:rsidRPr="006B066E">
              <w:rPr>
                <w:rFonts w:ascii="宋体" w:eastAsia="宋体" w:hAnsi="宋体" w:cs="宋体" w:hint="eastAsia"/>
                <w:color w:val="333333"/>
                <w:kern w:val="0"/>
                <w:sz w:val="20"/>
                <w:szCs w:val="20"/>
              </w:rPr>
              <w:t>•</w:t>
            </w:r>
            <w:r w:rsidRPr="006B066E">
              <w:rPr>
                <w:rFonts w:ascii="仿宋_GB2312" w:eastAsia="仿宋_GB2312" w:hAnsi="仿宋_GB2312" w:cs="仿宋_GB2312" w:hint="eastAsia"/>
                <w:color w:val="333333"/>
                <w:kern w:val="0"/>
                <w:sz w:val="20"/>
                <w:szCs w:val="20"/>
              </w:rPr>
              <w:t>月</w:t>
            </w:r>
            <w:r w:rsidRPr="006B066E">
              <w:rPr>
                <w:rFonts w:ascii="仿宋_GB2312" w:eastAsia="仿宋_GB2312" w:hAnsi="微软雅黑" w:cs="宋体" w:hint="eastAsia"/>
                <w:color w:val="333333"/>
                <w:kern w:val="0"/>
                <w:sz w:val="20"/>
                <w:szCs w:val="20"/>
              </w:rPr>
              <w:t>）</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jc w:val="center"/>
        </w:trPr>
        <w:tc>
          <w:tcPr>
            <w:tcW w:w="195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8"/>
                <w:szCs w:val="28"/>
              </w:rPr>
              <w:lastRenderedPageBreak/>
              <w:t>居民生活用电</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7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0.6</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6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5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3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jc w:val="center"/>
        </w:trPr>
        <w:tc>
          <w:tcPr>
            <w:tcW w:w="195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8"/>
                <w:szCs w:val="28"/>
              </w:rPr>
              <w:t>一般工商业及其它用电</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7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0.8164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0.8014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6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0.7864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5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3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jc w:val="center"/>
        </w:trPr>
        <w:tc>
          <w:tcPr>
            <w:tcW w:w="195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8"/>
                <w:szCs w:val="28"/>
              </w:rPr>
              <w:t>大工业用电</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7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0.6587</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6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0.6437</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5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0.6287</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3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0.6187</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42</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28</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r w:rsidR="006B066E" w:rsidRPr="006B066E" w:rsidTr="006B066E">
        <w:trPr>
          <w:jc w:val="center"/>
        </w:trPr>
        <w:tc>
          <w:tcPr>
            <w:tcW w:w="1950" w:type="dxa"/>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8"/>
                <w:szCs w:val="28"/>
              </w:rPr>
              <w:t>农业生产用电</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7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0.7634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0.7484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6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仿宋_GB2312" w:eastAsia="仿宋_GB2312" w:hAnsi="微软雅黑" w:cs="宋体" w:hint="eastAsia"/>
                <w:color w:val="333333"/>
                <w:kern w:val="0"/>
                <w:sz w:val="20"/>
                <w:szCs w:val="20"/>
              </w:rPr>
              <w:t>0.7334</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85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03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990"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c>
          <w:tcPr>
            <w:tcW w:w="1215" w:type="dxa"/>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6B066E" w:rsidRPr="006B066E" w:rsidRDefault="006B066E" w:rsidP="006B066E">
            <w:pPr>
              <w:widowControl/>
              <w:spacing w:before="225" w:line="400" w:lineRule="atLeast"/>
              <w:jc w:val="center"/>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w:t>
            </w:r>
          </w:p>
          <w:p w:rsidR="006B066E" w:rsidRPr="006B066E" w:rsidRDefault="006B066E" w:rsidP="006B066E">
            <w:pPr>
              <w:widowControl/>
              <w:spacing w:before="225"/>
              <w:jc w:val="left"/>
              <w:rPr>
                <w:rFonts w:ascii="微软雅黑" w:eastAsia="微软雅黑" w:hAnsi="微软雅黑" w:cs="宋体" w:hint="eastAsia"/>
                <w:color w:val="333333"/>
                <w:kern w:val="0"/>
                <w:sz w:val="20"/>
                <w:szCs w:val="20"/>
              </w:rPr>
            </w:pPr>
            <w:r w:rsidRPr="006B066E">
              <w:rPr>
                <w:rFonts w:ascii="微软雅黑" w:eastAsia="微软雅黑" w:hAnsi="微软雅黑" w:cs="宋体" w:hint="eastAsia"/>
                <w:color w:val="333333"/>
                <w:kern w:val="0"/>
                <w:sz w:val="20"/>
                <w:szCs w:val="20"/>
              </w:rPr>
              <w:t xml:space="preserve">　　</w:t>
            </w:r>
          </w:p>
        </w:tc>
      </w:tr>
    </w:tbl>
    <w:p w:rsidR="006B066E" w:rsidRPr="006B066E" w:rsidRDefault="006B066E" w:rsidP="006B066E">
      <w:pPr>
        <w:widowControl/>
        <w:shd w:val="clear" w:color="auto" w:fill="FFFFFF"/>
        <w:spacing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w:t>
      </w:r>
    </w:p>
    <w:p w:rsidR="006B066E" w:rsidRPr="006B066E" w:rsidRDefault="006B066E" w:rsidP="006B066E">
      <w:pPr>
        <w:widowControl/>
        <w:shd w:val="clear" w:color="auto" w:fill="FFFFFF"/>
        <w:spacing w:before="225" w:line="540"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第三十七条  重大项目政策可一事一议。</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t xml:space="preserve">　　第三十八条 “五险</w:t>
      </w:r>
      <w:proofErr w:type="gramStart"/>
      <w:r w:rsidRPr="006B066E">
        <w:rPr>
          <w:rFonts w:ascii="宋体" w:eastAsia="宋体" w:hAnsi="宋体" w:cs="宋体" w:hint="eastAsia"/>
          <w:color w:val="333333"/>
          <w:kern w:val="0"/>
          <w:szCs w:val="21"/>
        </w:rPr>
        <w:t>一</w:t>
      </w:r>
      <w:proofErr w:type="gramEnd"/>
      <w:r w:rsidRPr="006B066E">
        <w:rPr>
          <w:rFonts w:ascii="宋体" w:eastAsia="宋体" w:hAnsi="宋体" w:cs="宋体" w:hint="eastAsia"/>
          <w:color w:val="333333"/>
          <w:kern w:val="0"/>
          <w:szCs w:val="21"/>
        </w:rPr>
        <w:t>金”按赣江新区新出台的政策执行。</w:t>
      </w:r>
    </w:p>
    <w:p w:rsidR="006B066E" w:rsidRPr="006B066E" w:rsidRDefault="006B066E" w:rsidP="006B066E">
      <w:pPr>
        <w:widowControl/>
        <w:shd w:val="clear" w:color="auto" w:fill="FFFFFF"/>
        <w:spacing w:before="225" w:line="525" w:lineRule="atLeast"/>
        <w:jc w:val="left"/>
        <w:rPr>
          <w:rFonts w:ascii="宋体" w:eastAsia="宋体" w:hAnsi="宋体" w:cs="宋体" w:hint="eastAsia"/>
          <w:color w:val="333333"/>
          <w:kern w:val="0"/>
          <w:szCs w:val="21"/>
        </w:rPr>
      </w:pPr>
      <w:r w:rsidRPr="006B066E">
        <w:rPr>
          <w:rFonts w:ascii="宋体" w:eastAsia="宋体" w:hAnsi="宋体" w:cs="宋体" w:hint="eastAsia"/>
          <w:color w:val="333333"/>
          <w:kern w:val="0"/>
          <w:szCs w:val="21"/>
        </w:rPr>
        <w:lastRenderedPageBreak/>
        <w:t xml:space="preserve">　　第三十九条  本政策自2017年5月1日起实施，之前落户的工业企业继续执行原合同约定的政策，本政策与之前共青城所执行优惠政策不一致的以本政策为准。本政策由开放型经济工作领导小组办公室负责解释。</w:t>
      </w:r>
    </w:p>
    <w:p w:rsidR="00BC59B4" w:rsidRPr="006B066E" w:rsidRDefault="00BC59B4" w:rsidP="006B066E"/>
    <w:sectPr w:rsidR="00BC59B4" w:rsidRPr="006B0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6E"/>
    <w:rsid w:val="006B066E"/>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3C46-8AD9-4775-A281-B11EFFC0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plain1">
    <w:name w:val="explain1"/>
    <w:basedOn w:val="a"/>
    <w:rsid w:val="006B066E"/>
    <w:pPr>
      <w:widowControl/>
      <w:spacing w:before="100" w:beforeAutospacing="1" w:after="100" w:afterAutospacing="1" w:line="450" w:lineRule="atLeast"/>
      <w:jc w:val="center"/>
    </w:pPr>
    <w:rPr>
      <w:rFonts w:ascii="宋体" w:eastAsia="宋体" w:hAnsi="宋体" w:cs="宋体"/>
      <w:color w:val="898989"/>
      <w:kern w:val="0"/>
      <w:sz w:val="18"/>
      <w:szCs w:val="18"/>
    </w:rPr>
  </w:style>
  <w:style w:type="character" w:customStyle="1" w:styleId="big">
    <w:name w:val="big"/>
    <w:basedOn w:val="a0"/>
    <w:rsid w:val="006B066E"/>
  </w:style>
  <w:style w:type="character" w:customStyle="1" w:styleId="middle">
    <w:name w:val="middle"/>
    <w:basedOn w:val="a0"/>
    <w:rsid w:val="006B066E"/>
  </w:style>
  <w:style w:type="character" w:customStyle="1" w:styleId="small">
    <w:name w:val="small"/>
    <w:basedOn w:val="a0"/>
    <w:rsid w:val="006B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295182">
      <w:bodyDiv w:val="1"/>
      <w:marLeft w:val="0"/>
      <w:marRight w:val="0"/>
      <w:marTop w:val="0"/>
      <w:marBottom w:val="0"/>
      <w:divBdr>
        <w:top w:val="none" w:sz="0" w:space="0" w:color="auto"/>
        <w:left w:val="none" w:sz="0" w:space="0" w:color="auto"/>
        <w:bottom w:val="none" w:sz="0" w:space="0" w:color="auto"/>
        <w:right w:val="none" w:sz="0" w:space="0" w:color="auto"/>
      </w:divBdr>
      <w:divsChild>
        <w:div w:id="1335454140">
          <w:marLeft w:val="0"/>
          <w:marRight w:val="0"/>
          <w:marTop w:val="0"/>
          <w:marBottom w:val="0"/>
          <w:divBdr>
            <w:top w:val="none" w:sz="0" w:space="0" w:color="auto"/>
            <w:left w:val="none" w:sz="0" w:space="0" w:color="auto"/>
            <w:bottom w:val="none" w:sz="0" w:space="0" w:color="auto"/>
            <w:right w:val="none" w:sz="0" w:space="0" w:color="auto"/>
          </w:divBdr>
          <w:divsChild>
            <w:div w:id="1979454040">
              <w:marLeft w:val="0"/>
              <w:marRight w:val="0"/>
              <w:marTop w:val="0"/>
              <w:marBottom w:val="0"/>
              <w:divBdr>
                <w:top w:val="single" w:sz="6" w:space="15" w:color="E8E8E8"/>
                <w:left w:val="single" w:sz="6" w:space="15" w:color="E8E8E8"/>
                <w:bottom w:val="single" w:sz="6" w:space="15" w:color="E8E8E8"/>
                <w:right w:val="single" w:sz="6" w:space="15" w:color="E8E8E8"/>
              </w:divBdr>
              <w:divsChild>
                <w:div w:id="344941121">
                  <w:marLeft w:val="300"/>
                  <w:marRight w:val="300"/>
                  <w:marTop w:val="150"/>
                  <w:marBottom w:val="0"/>
                  <w:divBdr>
                    <w:top w:val="none" w:sz="0" w:space="0" w:color="auto"/>
                    <w:left w:val="none" w:sz="0" w:space="0" w:color="auto"/>
                    <w:bottom w:val="none" w:sz="0" w:space="0" w:color="auto"/>
                    <w:right w:val="none" w:sz="0" w:space="0" w:color="auto"/>
                  </w:divBdr>
                  <w:divsChild>
                    <w:div w:id="1474173184">
                      <w:marLeft w:val="0"/>
                      <w:marRight w:val="0"/>
                      <w:marTop w:val="0"/>
                      <w:marBottom w:val="0"/>
                      <w:divBdr>
                        <w:top w:val="none" w:sz="0" w:space="0" w:color="auto"/>
                        <w:left w:val="none" w:sz="0" w:space="0" w:color="auto"/>
                        <w:bottom w:val="none" w:sz="0" w:space="0" w:color="auto"/>
                        <w:right w:val="none" w:sz="0" w:space="0" w:color="auto"/>
                      </w:divBdr>
                      <w:divsChild>
                        <w:div w:id="1731540277">
                          <w:marLeft w:val="0"/>
                          <w:marRight w:val="0"/>
                          <w:marTop w:val="150"/>
                          <w:marBottom w:val="150"/>
                          <w:divBdr>
                            <w:top w:val="single" w:sz="6" w:space="15" w:color="E0E0E0"/>
                            <w:left w:val="none" w:sz="0" w:space="0" w:color="auto"/>
                            <w:bottom w:val="single" w:sz="6" w:space="15" w:color="E0E0E0"/>
                            <w:right w:val="none" w:sz="0" w:space="0" w:color="auto"/>
                          </w:divBdr>
                          <w:divsChild>
                            <w:div w:id="777875519">
                              <w:marLeft w:val="0"/>
                              <w:marRight w:val="0"/>
                              <w:marTop w:val="0"/>
                              <w:marBottom w:val="0"/>
                              <w:divBdr>
                                <w:top w:val="none" w:sz="0" w:space="0" w:color="auto"/>
                                <w:left w:val="none" w:sz="0" w:space="0" w:color="auto"/>
                                <w:bottom w:val="none" w:sz="0" w:space="0" w:color="auto"/>
                                <w:right w:val="none" w:sz="0" w:space="0" w:color="auto"/>
                              </w:divBdr>
                            </w:div>
                            <w:div w:id="4855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2018-05-09T11:44:00Z</dcterms:created>
  <dcterms:modified xsi:type="dcterms:W3CDTF">2018-05-09T11:45:00Z</dcterms:modified>
</cp:coreProperties>
</file>