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52" w:rsidRPr="00CE7652" w:rsidRDefault="00CE7652" w:rsidP="00CE7652">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CE7652">
        <w:rPr>
          <w:rFonts w:ascii="微软雅黑" w:eastAsia="微软雅黑" w:hAnsi="微软雅黑" w:cs="宋体" w:hint="eastAsia"/>
          <w:b/>
          <w:bCs/>
          <w:color w:val="333333"/>
          <w:kern w:val="36"/>
          <w:sz w:val="36"/>
          <w:szCs w:val="36"/>
        </w:rPr>
        <w:t>荆州市人民政府关于加快推进建筑业发展的实施意见</w:t>
      </w:r>
    </w:p>
    <w:bookmarkEnd w:id="0"/>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各县、市、区人民政府，</w:t>
      </w:r>
      <w:hyperlink r:id="rId4" w:tgtFrame="_blank" w:history="1">
        <w:r w:rsidRPr="00CE7652">
          <w:rPr>
            <w:rFonts w:ascii="微软雅黑" w:eastAsia="微软雅黑" w:hAnsi="微软雅黑" w:cs="宋体" w:hint="eastAsia"/>
            <w:color w:val="CC0000"/>
            <w:kern w:val="0"/>
            <w:sz w:val="24"/>
            <w:szCs w:val="24"/>
          </w:rPr>
          <w:t>荆州</w:t>
        </w:r>
      </w:hyperlink>
      <w:r w:rsidRPr="00CE7652">
        <w:rPr>
          <w:rFonts w:ascii="微软雅黑" w:eastAsia="微软雅黑" w:hAnsi="微软雅黑" w:cs="宋体" w:hint="eastAsia"/>
          <w:color w:val="444444"/>
          <w:kern w:val="0"/>
          <w:sz w:val="24"/>
          <w:szCs w:val="24"/>
        </w:rPr>
        <w:t>开发区，</w:t>
      </w:r>
      <w:hyperlink r:id="rId5" w:tgtFrame="_blank" w:history="1">
        <w:r w:rsidRPr="00CE7652">
          <w:rPr>
            <w:rFonts w:ascii="微软雅黑" w:eastAsia="微软雅黑" w:hAnsi="微软雅黑" w:cs="宋体" w:hint="eastAsia"/>
            <w:color w:val="CC0000"/>
            <w:kern w:val="0"/>
            <w:sz w:val="24"/>
            <w:szCs w:val="24"/>
          </w:rPr>
          <w:t>荆州</w:t>
        </w:r>
      </w:hyperlink>
      <w:r w:rsidRPr="00CE7652">
        <w:rPr>
          <w:rFonts w:ascii="微软雅黑" w:eastAsia="微软雅黑" w:hAnsi="微软雅黑" w:cs="宋体" w:hint="eastAsia"/>
          <w:color w:val="444444"/>
          <w:kern w:val="0"/>
          <w:sz w:val="24"/>
          <w:szCs w:val="24"/>
        </w:rPr>
        <w:t>纪南生态文化</w:t>
      </w:r>
      <w:hyperlink r:id="rId6" w:tgtFrame="_blank" w:history="1">
        <w:r w:rsidRPr="00CE7652">
          <w:rPr>
            <w:rFonts w:ascii="微软雅黑" w:eastAsia="微软雅黑" w:hAnsi="微软雅黑" w:cs="宋体" w:hint="eastAsia"/>
            <w:color w:val="CC0000"/>
            <w:kern w:val="0"/>
            <w:sz w:val="24"/>
            <w:szCs w:val="24"/>
          </w:rPr>
          <w:t>旅游</w:t>
        </w:r>
      </w:hyperlink>
      <w:r w:rsidRPr="00CE7652">
        <w:rPr>
          <w:rFonts w:ascii="微软雅黑" w:eastAsia="微软雅黑" w:hAnsi="微软雅黑" w:cs="宋体" w:hint="eastAsia"/>
          <w:color w:val="444444"/>
          <w:kern w:val="0"/>
          <w:sz w:val="24"/>
          <w:szCs w:val="24"/>
        </w:rPr>
        <w:t>区，市政府有关部门：</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为进一步改善</w:t>
      </w:r>
      <w:hyperlink r:id="rId7" w:tgtFrame="_blank" w:history="1">
        <w:r w:rsidRPr="00CE7652">
          <w:rPr>
            <w:rFonts w:ascii="微软雅黑" w:eastAsia="微软雅黑" w:hAnsi="微软雅黑" w:cs="宋体" w:hint="eastAsia"/>
            <w:color w:val="CC0000"/>
            <w:kern w:val="0"/>
            <w:sz w:val="24"/>
            <w:szCs w:val="24"/>
          </w:rPr>
          <w:t>建筑</w:t>
        </w:r>
      </w:hyperlink>
      <w:r w:rsidRPr="00CE7652">
        <w:rPr>
          <w:rFonts w:ascii="微软雅黑" w:eastAsia="微软雅黑" w:hAnsi="微软雅黑" w:cs="宋体" w:hint="eastAsia"/>
          <w:color w:val="444444"/>
          <w:kern w:val="0"/>
          <w:sz w:val="24"/>
          <w:szCs w:val="24"/>
        </w:rPr>
        <w:t>业发展环境，增强行业竞争力，助推我市</w:t>
      </w:r>
      <w:hyperlink r:id="rId8" w:tgtFrame="_blank" w:history="1">
        <w:r w:rsidRPr="00CE7652">
          <w:rPr>
            <w:rFonts w:ascii="微软雅黑" w:eastAsia="微软雅黑" w:hAnsi="微软雅黑" w:cs="宋体" w:hint="eastAsia"/>
            <w:color w:val="CC0000"/>
            <w:kern w:val="0"/>
            <w:sz w:val="24"/>
            <w:szCs w:val="24"/>
          </w:rPr>
          <w:t>建筑</w:t>
        </w:r>
      </w:hyperlink>
      <w:r w:rsidRPr="00CE7652">
        <w:rPr>
          <w:rFonts w:ascii="微软雅黑" w:eastAsia="微软雅黑" w:hAnsi="微软雅黑" w:cs="宋体" w:hint="eastAsia"/>
          <w:color w:val="444444"/>
          <w:kern w:val="0"/>
          <w:sz w:val="24"/>
          <w:szCs w:val="24"/>
        </w:rPr>
        <w:t>业加快发展，按照《住房和城乡建设部关于推进建筑业发展和改革的若干意见》(建市〔2014〕92号)和《</w:t>
      </w:r>
      <w:hyperlink r:id="rId9" w:tgtFrame="_blank" w:history="1">
        <w:r w:rsidRPr="00CE7652">
          <w:rPr>
            <w:rFonts w:ascii="微软雅黑" w:eastAsia="微软雅黑" w:hAnsi="微软雅黑" w:cs="宋体" w:hint="eastAsia"/>
            <w:color w:val="CC0000"/>
            <w:kern w:val="0"/>
            <w:sz w:val="24"/>
            <w:szCs w:val="24"/>
          </w:rPr>
          <w:t>湖北</w:t>
        </w:r>
      </w:hyperlink>
      <w:r w:rsidRPr="00CE7652">
        <w:rPr>
          <w:rFonts w:ascii="微软雅黑" w:eastAsia="微软雅黑" w:hAnsi="微软雅黑" w:cs="宋体" w:hint="eastAsia"/>
          <w:color w:val="444444"/>
          <w:kern w:val="0"/>
          <w:sz w:val="24"/>
          <w:szCs w:val="24"/>
        </w:rPr>
        <w:t>省人民政府关于促进建筑业发展的意见》(鄂政发〔2013〕52号)精神，现提出如下实施意见：</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w:t>
      </w:r>
      <w:r w:rsidRPr="00CE7652">
        <w:rPr>
          <w:rFonts w:ascii="微软雅黑" w:eastAsia="微软雅黑" w:hAnsi="微软雅黑" w:cs="宋体" w:hint="eastAsia"/>
          <w:b/>
          <w:bCs/>
          <w:color w:val="444444"/>
          <w:kern w:val="0"/>
          <w:sz w:val="24"/>
          <w:szCs w:val="24"/>
        </w:rPr>
        <w:t>一、明确发展目标</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以2014年在荆州注册的建筑业企业总产值227亿元为基础，年增长率不低于20%。5年内培育建筑业总产值超过20亿元的龙头企业3家，超过10亿元的支柱企业5家，超过5亿元的骨干企业10家。培育特级企业1家，新增一级施工总承包企业5家以上，争创国家级建筑大奖。加强建筑劳务基地建设，逐步形成建筑劳务基地乡镇，每年新吸纳农民工就业1万至2万人。</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b/>
          <w:bCs/>
          <w:color w:val="444444"/>
          <w:kern w:val="0"/>
          <w:sz w:val="24"/>
          <w:szCs w:val="24"/>
        </w:rPr>
        <w:t xml:space="preserve">　　二、优化发展环境</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w:t>
      </w:r>
      <w:proofErr w:type="gramStart"/>
      <w:r w:rsidRPr="00CE7652">
        <w:rPr>
          <w:rFonts w:ascii="微软雅黑" w:eastAsia="微软雅黑" w:hAnsi="微软雅黑" w:cs="宋体" w:hint="eastAsia"/>
          <w:color w:val="444444"/>
          <w:kern w:val="0"/>
          <w:sz w:val="24"/>
          <w:szCs w:val="24"/>
        </w:rPr>
        <w:t>一</w:t>
      </w:r>
      <w:proofErr w:type="gramEnd"/>
      <w:r w:rsidRPr="00CE7652">
        <w:rPr>
          <w:rFonts w:ascii="微软雅黑" w:eastAsia="微软雅黑" w:hAnsi="微软雅黑" w:cs="宋体" w:hint="eastAsia"/>
          <w:color w:val="444444"/>
          <w:kern w:val="0"/>
          <w:sz w:val="24"/>
          <w:szCs w:val="24"/>
        </w:rPr>
        <w:t>)完善建筑市场信用体系。建立统一的建筑业企业、人员和项目</w:t>
      </w:r>
      <w:hyperlink r:id="rId10" w:tgtFrame="_blank" w:history="1">
        <w:r w:rsidRPr="00CE7652">
          <w:rPr>
            <w:rFonts w:ascii="微软雅黑" w:eastAsia="微软雅黑" w:hAnsi="微软雅黑" w:cs="宋体" w:hint="eastAsia"/>
            <w:color w:val="CC0000"/>
            <w:kern w:val="0"/>
            <w:sz w:val="24"/>
            <w:szCs w:val="24"/>
          </w:rPr>
          <w:t>信息</w:t>
        </w:r>
      </w:hyperlink>
      <w:r w:rsidRPr="00CE7652">
        <w:rPr>
          <w:rFonts w:ascii="微软雅黑" w:eastAsia="微软雅黑" w:hAnsi="微软雅黑" w:cs="宋体" w:hint="eastAsia"/>
          <w:color w:val="444444"/>
          <w:kern w:val="0"/>
          <w:sz w:val="24"/>
          <w:szCs w:val="24"/>
        </w:rPr>
        <w:t>管理系统，实现建筑市场信用</w:t>
      </w:r>
      <w:hyperlink r:id="rId11" w:tgtFrame="_blank" w:history="1">
        <w:r w:rsidRPr="00CE7652">
          <w:rPr>
            <w:rFonts w:ascii="微软雅黑" w:eastAsia="微软雅黑" w:hAnsi="微软雅黑" w:cs="宋体" w:hint="eastAsia"/>
            <w:color w:val="CC0000"/>
            <w:kern w:val="0"/>
            <w:sz w:val="24"/>
            <w:szCs w:val="24"/>
          </w:rPr>
          <w:t>信息</w:t>
        </w:r>
      </w:hyperlink>
      <w:r w:rsidRPr="00CE7652">
        <w:rPr>
          <w:rFonts w:ascii="微软雅黑" w:eastAsia="微软雅黑" w:hAnsi="微软雅黑" w:cs="宋体" w:hint="eastAsia"/>
          <w:color w:val="444444"/>
          <w:kern w:val="0"/>
          <w:sz w:val="24"/>
          <w:szCs w:val="24"/>
        </w:rPr>
        <w:t>互通、互认、互用。建立信用奖惩机制，将信</w:t>
      </w:r>
      <w:r w:rsidRPr="00CE7652">
        <w:rPr>
          <w:rFonts w:ascii="微软雅黑" w:eastAsia="微软雅黑" w:hAnsi="微软雅黑" w:cs="宋体" w:hint="eastAsia"/>
          <w:color w:val="444444"/>
          <w:kern w:val="0"/>
          <w:sz w:val="24"/>
          <w:szCs w:val="24"/>
        </w:rPr>
        <w:lastRenderedPageBreak/>
        <w:t>用信息与招投标、资质审批、评优评奖、工程担保等挂钩，提高失信成本，营造依法守信的建筑市场信用环境。</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(二)规范招投标和工程造价管理。相关行业行政主管部门应建立投标前市场行为监督检查制度，提倡优质优价和综合最优价中标，引导企业良性竞争。凡国家和省规定的职工</w:t>
      </w:r>
      <w:hyperlink r:id="rId12" w:tgtFrame="_blank" w:history="1">
        <w:r w:rsidRPr="00CE7652">
          <w:rPr>
            <w:rFonts w:ascii="微软雅黑" w:eastAsia="微软雅黑" w:hAnsi="微软雅黑" w:cs="宋体" w:hint="eastAsia"/>
            <w:color w:val="CC0000"/>
            <w:kern w:val="0"/>
            <w:sz w:val="24"/>
            <w:szCs w:val="24"/>
          </w:rPr>
          <w:t>教育</w:t>
        </w:r>
      </w:hyperlink>
      <w:r w:rsidRPr="00CE7652">
        <w:rPr>
          <w:rFonts w:ascii="微软雅黑" w:eastAsia="微软雅黑" w:hAnsi="微软雅黑" w:cs="宋体" w:hint="eastAsia"/>
          <w:color w:val="444444"/>
          <w:kern w:val="0"/>
          <w:sz w:val="24"/>
          <w:szCs w:val="24"/>
        </w:rPr>
        <w:t>经费、建筑工程安全防护费、文明施工措施费、社会保障费实行单列，作为不可竞争费用不纳入工程招标竞价，直接列入工程总造价。</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(三)完善工程质量安全保障体系。着力开展工程质量安全标准化管理，积极推进施工现场管理智慧化，加强监管队伍建设，提高监管效能。</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(四)维护企业、从业人员合法权益。加快国有</w:t>
      </w:r>
      <w:hyperlink r:id="rId13" w:tgtFrame="_blank" w:history="1">
        <w:r w:rsidRPr="00CE7652">
          <w:rPr>
            <w:rFonts w:ascii="微软雅黑" w:eastAsia="微软雅黑" w:hAnsi="微软雅黑" w:cs="宋体" w:hint="eastAsia"/>
            <w:color w:val="CC0000"/>
            <w:kern w:val="0"/>
            <w:sz w:val="24"/>
            <w:szCs w:val="24"/>
          </w:rPr>
          <w:t>投资</w:t>
        </w:r>
      </w:hyperlink>
      <w:r w:rsidRPr="00CE7652">
        <w:rPr>
          <w:rFonts w:ascii="微软雅黑" w:eastAsia="微软雅黑" w:hAnsi="微软雅黑" w:cs="宋体" w:hint="eastAsia"/>
          <w:color w:val="444444"/>
          <w:kern w:val="0"/>
          <w:sz w:val="24"/>
          <w:szCs w:val="24"/>
        </w:rPr>
        <w:t>项目审计和结算速度，确保工程款及时结算。加强劳动合同管理，全面推行建筑劳务人员实名制管理。进一步健全农民工工资支付保障机制。</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五)切实减轻企业负担。严禁将应由建设单位或其他部门缴纳的费用转嫁到建筑企业;严禁向企业乱摊派、乱集资、乱收费、乱罚款。鼓励采用银行保函作为保证金，对综合实力强、信用记录良好、有发展潜力的企业，可降低保证金水平。建筑企业从事技术转让、开发、咨询服务取得的收入，免征营业税。</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(六)拓宽企业融资渠道。积极推动银企合作，引导和鼓励金融机构积极向建筑及勘察设计企业提供</w:t>
      </w:r>
      <w:proofErr w:type="gramStart"/>
      <w:r w:rsidRPr="00CE7652">
        <w:rPr>
          <w:rFonts w:ascii="微软雅黑" w:eastAsia="微软雅黑" w:hAnsi="微软雅黑" w:cs="宋体" w:hint="eastAsia"/>
          <w:color w:val="444444"/>
          <w:kern w:val="0"/>
          <w:sz w:val="24"/>
          <w:szCs w:val="24"/>
        </w:rPr>
        <w:t>各类授信</w:t>
      </w:r>
      <w:proofErr w:type="gramEnd"/>
      <w:r w:rsidRPr="00CE7652">
        <w:rPr>
          <w:rFonts w:ascii="微软雅黑" w:eastAsia="微软雅黑" w:hAnsi="微软雅黑" w:cs="宋体" w:hint="eastAsia"/>
          <w:color w:val="444444"/>
          <w:kern w:val="0"/>
          <w:sz w:val="24"/>
          <w:szCs w:val="24"/>
        </w:rPr>
        <w:t>、贷款及其他多种优质便捷的金融服务。金融机构对信誉良好，经济实力较强的本市企业，在风险可控、还款资金有保障的前提下，可将应收工程款作为质押标的发放贷款。建筑企业在外埠承建的工程，凡符合信贷政策和贷款条件的，可凭工程承包合同和施工许可证向企业注</w:t>
      </w:r>
      <w:r w:rsidRPr="00CE7652">
        <w:rPr>
          <w:rFonts w:ascii="微软雅黑" w:eastAsia="微软雅黑" w:hAnsi="微软雅黑" w:cs="宋体" w:hint="eastAsia"/>
          <w:color w:val="444444"/>
          <w:kern w:val="0"/>
          <w:sz w:val="24"/>
          <w:szCs w:val="24"/>
        </w:rPr>
        <w:lastRenderedPageBreak/>
        <w:t>册地开户银行申请贷款。落实支持中小企业信贷政策，加强融资帮扶、探索建立建筑企业融资担保机构，增强建筑企业融资功能，缓解资金压力。</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(七)营造公平公正的建筑业发展法治环境。司法部门要积极开展送法进企业的法治宣讲活动，加强对建筑企业内部法律安全防范工作的指导，积极推进“平安企业”“平安工地”等创建活动。</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b/>
          <w:bCs/>
          <w:color w:val="444444"/>
          <w:kern w:val="0"/>
          <w:sz w:val="24"/>
          <w:szCs w:val="24"/>
        </w:rPr>
        <w:t xml:space="preserve">　　三、加强政策扶持</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八)建筑企业享受工业企业各项优惠政策，形成有利于促进建筑业发展的激励机制。对在本市注册的建筑企业年产值名列全市建筑业前列和达到相应规模的建筑业企业，由市政府分别命名为建筑业龙头企业和建筑业支柱企业，并授予上述企业及有突出贡献企业的经营者相应荣誉称号。获得市政府命名表彰的建筑业龙头企业、支柱企业和骨干企业，在参与我市项目招标时，同等条件下优先。</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九)加快建设建筑产业现代化园区。优化整合各方资源，集中规划园区用地，培育全产业链协作的产业集群。凡在我市投资建设建筑产业现代化生产基地企业和用建筑产业现代化方式建造的试点示范项目，享受以下优惠政策：</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1.资金扶持政策。凡在我市投资建设建筑产业现代化生产基地的企业，由市经济和信息化部门依法依规在工业发展资金中给予优先扶持。对确定为建筑</w:t>
      </w:r>
      <w:r w:rsidRPr="00CE7652">
        <w:rPr>
          <w:rFonts w:ascii="微软雅黑" w:eastAsia="微软雅黑" w:hAnsi="微软雅黑" w:cs="宋体" w:hint="eastAsia"/>
          <w:color w:val="444444"/>
          <w:kern w:val="0"/>
          <w:sz w:val="24"/>
          <w:szCs w:val="24"/>
        </w:rPr>
        <w:lastRenderedPageBreak/>
        <w:t>产业化试点示范项目，其使用的产品部件经认定达到新型墙</w:t>
      </w:r>
      <w:proofErr w:type="gramStart"/>
      <w:r w:rsidRPr="00CE7652">
        <w:rPr>
          <w:rFonts w:ascii="微软雅黑" w:eastAsia="微软雅黑" w:hAnsi="微软雅黑" w:cs="宋体" w:hint="eastAsia"/>
          <w:color w:val="444444"/>
          <w:kern w:val="0"/>
          <w:sz w:val="24"/>
          <w:szCs w:val="24"/>
        </w:rPr>
        <w:t>体材</w:t>
      </w:r>
      <w:proofErr w:type="gramEnd"/>
      <w:r w:rsidRPr="00CE7652">
        <w:rPr>
          <w:rFonts w:ascii="微软雅黑" w:eastAsia="微软雅黑" w:hAnsi="微软雅黑" w:cs="宋体" w:hint="eastAsia"/>
          <w:color w:val="444444"/>
          <w:kern w:val="0"/>
          <w:sz w:val="24"/>
          <w:szCs w:val="24"/>
        </w:rPr>
        <w:t>料要求的，可免交新型墙</w:t>
      </w:r>
      <w:proofErr w:type="gramStart"/>
      <w:r w:rsidRPr="00CE7652">
        <w:rPr>
          <w:rFonts w:ascii="微软雅黑" w:eastAsia="微软雅黑" w:hAnsi="微软雅黑" w:cs="宋体" w:hint="eastAsia"/>
          <w:color w:val="444444"/>
          <w:kern w:val="0"/>
          <w:sz w:val="24"/>
          <w:szCs w:val="24"/>
        </w:rPr>
        <w:t>体材</w:t>
      </w:r>
      <w:proofErr w:type="gramEnd"/>
      <w:r w:rsidRPr="00CE7652">
        <w:rPr>
          <w:rFonts w:ascii="微软雅黑" w:eastAsia="微软雅黑" w:hAnsi="微软雅黑" w:cs="宋体" w:hint="eastAsia"/>
          <w:color w:val="444444"/>
          <w:kern w:val="0"/>
          <w:sz w:val="24"/>
          <w:szCs w:val="24"/>
        </w:rPr>
        <w:t>料专项基金和散装</w:t>
      </w:r>
      <w:hyperlink r:id="rId14" w:tgtFrame="_blank" w:history="1">
        <w:r w:rsidRPr="00CE7652">
          <w:rPr>
            <w:rFonts w:ascii="微软雅黑" w:eastAsia="微软雅黑" w:hAnsi="微软雅黑" w:cs="宋体" w:hint="eastAsia"/>
            <w:color w:val="CC0000"/>
            <w:kern w:val="0"/>
            <w:sz w:val="24"/>
            <w:szCs w:val="24"/>
          </w:rPr>
          <w:t>水泥</w:t>
        </w:r>
      </w:hyperlink>
      <w:r w:rsidRPr="00CE7652">
        <w:rPr>
          <w:rFonts w:ascii="微软雅黑" w:eastAsia="微软雅黑" w:hAnsi="微软雅黑" w:cs="宋体" w:hint="eastAsia"/>
          <w:color w:val="444444"/>
          <w:kern w:val="0"/>
          <w:sz w:val="24"/>
          <w:szCs w:val="24"/>
        </w:rPr>
        <w:t>专项基金。</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2.信贷优惠政策。对于购买建筑产业现代化方式建造且全装修商品住宅的购房者，金融机构应按照差别化住房信贷政策给予支持。</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3.成本核算政策。对按照建筑产业现代化要求建设的保障性住房和政府投资的其他项目，所增加的投资计入项目建设成本。</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(十)发挥招投标择优择强作用，建立政府投资工程目录管理制度。在招标工作中，对获得鲁班奖、省优工程的企业和受市政府表彰的企业在招投标时给予加分奖励。</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(十一)实施财政激励政策。</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1.设立财政贡献奖。经核准，由受益财政对当年入库的建筑业税金(营业税和所得税总和)达300万元以上600万元以下的建筑企业，给予</w:t>
      </w:r>
      <w:proofErr w:type="gramStart"/>
      <w:r w:rsidRPr="00CE7652">
        <w:rPr>
          <w:rFonts w:ascii="微软雅黑" w:eastAsia="微软雅黑" w:hAnsi="微软雅黑" w:cs="宋体" w:hint="eastAsia"/>
          <w:color w:val="444444"/>
          <w:kern w:val="0"/>
          <w:sz w:val="24"/>
          <w:szCs w:val="24"/>
        </w:rPr>
        <w:t>一次性奖补5万元</w:t>
      </w:r>
      <w:proofErr w:type="gramEnd"/>
      <w:r w:rsidRPr="00CE7652">
        <w:rPr>
          <w:rFonts w:ascii="微软雅黑" w:eastAsia="微软雅黑" w:hAnsi="微软雅黑" w:cs="宋体" w:hint="eastAsia"/>
          <w:color w:val="444444"/>
          <w:kern w:val="0"/>
          <w:sz w:val="24"/>
          <w:szCs w:val="24"/>
        </w:rPr>
        <w:t>;达600万元以上1000万元以下的，给予</w:t>
      </w:r>
      <w:proofErr w:type="gramStart"/>
      <w:r w:rsidRPr="00CE7652">
        <w:rPr>
          <w:rFonts w:ascii="微软雅黑" w:eastAsia="微软雅黑" w:hAnsi="微软雅黑" w:cs="宋体" w:hint="eastAsia"/>
          <w:color w:val="444444"/>
          <w:kern w:val="0"/>
          <w:sz w:val="24"/>
          <w:szCs w:val="24"/>
        </w:rPr>
        <w:t>一次性奖补10万元</w:t>
      </w:r>
      <w:proofErr w:type="gramEnd"/>
      <w:r w:rsidRPr="00CE7652">
        <w:rPr>
          <w:rFonts w:ascii="微软雅黑" w:eastAsia="微软雅黑" w:hAnsi="微软雅黑" w:cs="宋体" w:hint="eastAsia"/>
          <w:color w:val="444444"/>
          <w:kern w:val="0"/>
          <w:sz w:val="24"/>
          <w:szCs w:val="24"/>
        </w:rPr>
        <w:t>;达1000万元以上1500万元的以下的，给予</w:t>
      </w:r>
      <w:proofErr w:type="gramStart"/>
      <w:r w:rsidRPr="00CE7652">
        <w:rPr>
          <w:rFonts w:ascii="微软雅黑" w:eastAsia="微软雅黑" w:hAnsi="微软雅黑" w:cs="宋体" w:hint="eastAsia"/>
          <w:color w:val="444444"/>
          <w:kern w:val="0"/>
          <w:sz w:val="24"/>
          <w:szCs w:val="24"/>
        </w:rPr>
        <w:t>一次性奖补15万元</w:t>
      </w:r>
      <w:proofErr w:type="gramEnd"/>
      <w:r w:rsidRPr="00CE7652">
        <w:rPr>
          <w:rFonts w:ascii="微软雅黑" w:eastAsia="微软雅黑" w:hAnsi="微软雅黑" w:cs="宋体" w:hint="eastAsia"/>
          <w:color w:val="444444"/>
          <w:kern w:val="0"/>
          <w:sz w:val="24"/>
          <w:szCs w:val="24"/>
        </w:rPr>
        <w:t>;达1500万元以上的，给予</w:t>
      </w:r>
      <w:proofErr w:type="gramStart"/>
      <w:r w:rsidRPr="00CE7652">
        <w:rPr>
          <w:rFonts w:ascii="微软雅黑" w:eastAsia="微软雅黑" w:hAnsi="微软雅黑" w:cs="宋体" w:hint="eastAsia"/>
          <w:color w:val="444444"/>
          <w:kern w:val="0"/>
          <w:sz w:val="24"/>
          <w:szCs w:val="24"/>
        </w:rPr>
        <w:t>一次性奖补20万元</w:t>
      </w:r>
      <w:proofErr w:type="gramEnd"/>
      <w:r w:rsidRPr="00CE7652">
        <w:rPr>
          <w:rFonts w:ascii="微软雅黑" w:eastAsia="微软雅黑" w:hAnsi="微软雅黑" w:cs="宋体" w:hint="eastAsia"/>
          <w:color w:val="444444"/>
          <w:kern w:val="0"/>
          <w:sz w:val="24"/>
          <w:szCs w:val="24"/>
        </w:rPr>
        <w:t>。对在市外建筑市场取得的经营所得在本市缴纳企业所得税的，按照受益财政可得部分的50%给予奖补。</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2.鼓励企业强</w:t>
      </w:r>
      <w:proofErr w:type="gramStart"/>
      <w:r w:rsidRPr="00CE7652">
        <w:rPr>
          <w:rFonts w:ascii="微软雅黑" w:eastAsia="微软雅黑" w:hAnsi="微软雅黑" w:cs="宋体" w:hint="eastAsia"/>
          <w:color w:val="444444"/>
          <w:kern w:val="0"/>
          <w:sz w:val="24"/>
          <w:szCs w:val="24"/>
        </w:rPr>
        <w:t>强</w:t>
      </w:r>
      <w:proofErr w:type="gramEnd"/>
      <w:r w:rsidRPr="00CE7652">
        <w:rPr>
          <w:rFonts w:ascii="微软雅黑" w:eastAsia="微软雅黑" w:hAnsi="微软雅黑" w:cs="宋体" w:hint="eastAsia"/>
          <w:color w:val="444444"/>
          <w:kern w:val="0"/>
          <w:sz w:val="24"/>
          <w:szCs w:val="24"/>
        </w:rPr>
        <w:t>联合。两家或几家企业按规范化股份制改造方式合并重组，合并后产值比上年增长且实缴税收达到全市平均增幅的，按实缴税</w:t>
      </w:r>
      <w:proofErr w:type="gramStart"/>
      <w:r w:rsidRPr="00CE7652">
        <w:rPr>
          <w:rFonts w:ascii="微软雅黑" w:eastAsia="微软雅黑" w:hAnsi="微软雅黑" w:cs="宋体" w:hint="eastAsia"/>
          <w:color w:val="444444"/>
          <w:kern w:val="0"/>
          <w:sz w:val="24"/>
          <w:szCs w:val="24"/>
        </w:rPr>
        <w:t>收每增量</w:t>
      </w:r>
      <w:proofErr w:type="gramEnd"/>
      <w:r w:rsidRPr="00CE7652">
        <w:rPr>
          <w:rFonts w:ascii="微软雅黑" w:eastAsia="微软雅黑" w:hAnsi="微软雅黑" w:cs="宋体" w:hint="eastAsia"/>
          <w:color w:val="444444"/>
          <w:kern w:val="0"/>
          <w:sz w:val="24"/>
          <w:szCs w:val="24"/>
        </w:rPr>
        <w:t>50万给予5万元的专项奖补，并依此类推，连续实行3年(企业年</w:t>
      </w:r>
      <w:proofErr w:type="gramStart"/>
      <w:r w:rsidRPr="00CE7652">
        <w:rPr>
          <w:rFonts w:ascii="微软雅黑" w:eastAsia="微软雅黑" w:hAnsi="微软雅黑" w:cs="宋体" w:hint="eastAsia"/>
          <w:color w:val="444444"/>
          <w:kern w:val="0"/>
          <w:sz w:val="24"/>
          <w:szCs w:val="24"/>
        </w:rPr>
        <w:t>最高奖补50万</w:t>
      </w:r>
      <w:proofErr w:type="gramEnd"/>
      <w:r w:rsidRPr="00CE7652">
        <w:rPr>
          <w:rFonts w:ascii="微软雅黑" w:eastAsia="微软雅黑" w:hAnsi="微软雅黑" w:cs="宋体" w:hint="eastAsia"/>
          <w:color w:val="444444"/>
          <w:kern w:val="0"/>
          <w:sz w:val="24"/>
          <w:szCs w:val="24"/>
        </w:rPr>
        <w:t>)。</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lastRenderedPageBreak/>
        <w:t xml:space="preserve">　　3.设立建筑业企业市场开拓奖。本市建筑业企业在市外的当年工程结算收入达1亿元-3亿元(含3亿)，受益财政</w:t>
      </w:r>
      <w:proofErr w:type="gramStart"/>
      <w:r w:rsidRPr="00CE7652">
        <w:rPr>
          <w:rFonts w:ascii="微软雅黑" w:eastAsia="微软雅黑" w:hAnsi="微软雅黑" w:cs="宋体" w:hint="eastAsia"/>
          <w:color w:val="444444"/>
          <w:kern w:val="0"/>
          <w:sz w:val="24"/>
          <w:szCs w:val="24"/>
        </w:rPr>
        <w:t>奖补企业</w:t>
      </w:r>
      <w:proofErr w:type="gramEnd"/>
      <w:r w:rsidRPr="00CE7652">
        <w:rPr>
          <w:rFonts w:ascii="微软雅黑" w:eastAsia="微软雅黑" w:hAnsi="微软雅黑" w:cs="宋体" w:hint="eastAsia"/>
          <w:color w:val="444444"/>
          <w:kern w:val="0"/>
          <w:sz w:val="24"/>
          <w:szCs w:val="24"/>
        </w:rPr>
        <w:t>2万元;3亿元-5亿元(含5亿)</w:t>
      </w:r>
      <w:proofErr w:type="gramStart"/>
      <w:r w:rsidRPr="00CE7652">
        <w:rPr>
          <w:rFonts w:ascii="微软雅黑" w:eastAsia="微软雅黑" w:hAnsi="微软雅黑" w:cs="宋体" w:hint="eastAsia"/>
          <w:color w:val="444444"/>
          <w:kern w:val="0"/>
          <w:sz w:val="24"/>
          <w:szCs w:val="24"/>
        </w:rPr>
        <w:t>的奖补4万元</w:t>
      </w:r>
      <w:proofErr w:type="gramEnd"/>
      <w:r w:rsidRPr="00CE7652">
        <w:rPr>
          <w:rFonts w:ascii="微软雅黑" w:eastAsia="微软雅黑" w:hAnsi="微软雅黑" w:cs="宋体" w:hint="eastAsia"/>
          <w:color w:val="444444"/>
          <w:kern w:val="0"/>
          <w:sz w:val="24"/>
          <w:szCs w:val="24"/>
        </w:rPr>
        <w:t>;5亿元-10亿元(含10亿)</w:t>
      </w:r>
      <w:proofErr w:type="gramStart"/>
      <w:r w:rsidRPr="00CE7652">
        <w:rPr>
          <w:rFonts w:ascii="微软雅黑" w:eastAsia="微软雅黑" w:hAnsi="微软雅黑" w:cs="宋体" w:hint="eastAsia"/>
          <w:color w:val="444444"/>
          <w:kern w:val="0"/>
          <w:sz w:val="24"/>
          <w:szCs w:val="24"/>
        </w:rPr>
        <w:t>的奖补6万元</w:t>
      </w:r>
      <w:proofErr w:type="gramEnd"/>
      <w:r w:rsidRPr="00CE7652">
        <w:rPr>
          <w:rFonts w:ascii="微软雅黑" w:eastAsia="微软雅黑" w:hAnsi="微软雅黑" w:cs="宋体" w:hint="eastAsia"/>
          <w:color w:val="444444"/>
          <w:kern w:val="0"/>
          <w:sz w:val="24"/>
          <w:szCs w:val="24"/>
        </w:rPr>
        <w:t>，超过10亿元</w:t>
      </w:r>
      <w:proofErr w:type="gramStart"/>
      <w:r w:rsidRPr="00CE7652">
        <w:rPr>
          <w:rFonts w:ascii="微软雅黑" w:eastAsia="微软雅黑" w:hAnsi="微软雅黑" w:cs="宋体" w:hint="eastAsia"/>
          <w:color w:val="444444"/>
          <w:kern w:val="0"/>
          <w:sz w:val="24"/>
          <w:szCs w:val="24"/>
        </w:rPr>
        <w:t>的奖补8万元</w:t>
      </w:r>
      <w:proofErr w:type="gramEnd"/>
      <w:r w:rsidRPr="00CE7652">
        <w:rPr>
          <w:rFonts w:ascii="微软雅黑" w:eastAsia="微软雅黑" w:hAnsi="微软雅黑" w:cs="宋体" w:hint="eastAsia"/>
          <w:color w:val="444444"/>
          <w:kern w:val="0"/>
          <w:sz w:val="24"/>
          <w:szCs w:val="24"/>
        </w:rPr>
        <w:t>。</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4.设立企业资质升级奖。受益财政对本市建筑施工总承包企业主项资质由一级升至特级的，给予</w:t>
      </w:r>
      <w:proofErr w:type="gramStart"/>
      <w:r w:rsidRPr="00CE7652">
        <w:rPr>
          <w:rFonts w:ascii="微软雅黑" w:eastAsia="微软雅黑" w:hAnsi="微软雅黑" w:cs="宋体" w:hint="eastAsia"/>
          <w:color w:val="444444"/>
          <w:kern w:val="0"/>
          <w:sz w:val="24"/>
          <w:szCs w:val="24"/>
        </w:rPr>
        <w:t>100万元奖补</w:t>
      </w:r>
      <w:proofErr w:type="gramEnd"/>
      <w:r w:rsidRPr="00CE7652">
        <w:rPr>
          <w:rFonts w:ascii="微软雅黑" w:eastAsia="微软雅黑" w:hAnsi="微软雅黑" w:cs="宋体" w:hint="eastAsia"/>
          <w:color w:val="444444"/>
          <w:kern w:val="0"/>
          <w:sz w:val="24"/>
          <w:szCs w:val="24"/>
        </w:rPr>
        <w:t>;二级升至一级的，给予</w:t>
      </w:r>
      <w:proofErr w:type="gramStart"/>
      <w:r w:rsidRPr="00CE7652">
        <w:rPr>
          <w:rFonts w:ascii="微软雅黑" w:eastAsia="微软雅黑" w:hAnsi="微软雅黑" w:cs="宋体" w:hint="eastAsia"/>
          <w:color w:val="444444"/>
          <w:kern w:val="0"/>
          <w:sz w:val="24"/>
          <w:szCs w:val="24"/>
        </w:rPr>
        <w:t>15万元奖补</w:t>
      </w:r>
      <w:proofErr w:type="gramEnd"/>
      <w:r w:rsidRPr="00CE7652">
        <w:rPr>
          <w:rFonts w:ascii="微软雅黑" w:eastAsia="微软雅黑" w:hAnsi="微软雅黑" w:cs="宋体" w:hint="eastAsia"/>
          <w:color w:val="444444"/>
          <w:kern w:val="0"/>
          <w:sz w:val="24"/>
          <w:szCs w:val="24"/>
        </w:rPr>
        <w:t>;专业承包资质由二级升一级的，建筑行业中介资质由乙级升为甲级的，给予10万元奖补。</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5.鼓励企业创市优、省优、国优工程。甲乙双方签订的送交当地建设行政主管部门备案的合同，要明确优质优价条款。受益财政对工程项目获得“国家级建筑大奖”“楚天杯”奖的企业分别</w:t>
      </w:r>
      <w:proofErr w:type="gramStart"/>
      <w:r w:rsidRPr="00CE7652">
        <w:rPr>
          <w:rFonts w:ascii="微软雅黑" w:eastAsia="微软雅黑" w:hAnsi="微软雅黑" w:cs="宋体" w:hint="eastAsia"/>
          <w:color w:val="444444"/>
          <w:kern w:val="0"/>
          <w:sz w:val="24"/>
          <w:szCs w:val="24"/>
        </w:rPr>
        <w:t>一次性奖补50万元</w:t>
      </w:r>
      <w:proofErr w:type="gramEnd"/>
      <w:r w:rsidRPr="00CE7652">
        <w:rPr>
          <w:rFonts w:ascii="微软雅黑" w:eastAsia="微软雅黑" w:hAnsi="微软雅黑" w:cs="宋体" w:hint="eastAsia"/>
          <w:color w:val="444444"/>
          <w:kern w:val="0"/>
          <w:sz w:val="24"/>
          <w:szCs w:val="24"/>
        </w:rPr>
        <w:t>、10万元，同一工程项目获多个奖项的按获奖高等级标准进行奖补。对获得国家级、省级、市级安全和文明施工等方面的奖项应在合同中约定，由建设单位给予</w:t>
      </w:r>
      <w:proofErr w:type="gramStart"/>
      <w:r w:rsidRPr="00CE7652">
        <w:rPr>
          <w:rFonts w:ascii="微软雅黑" w:eastAsia="微软雅黑" w:hAnsi="微软雅黑" w:cs="宋体" w:hint="eastAsia"/>
          <w:color w:val="444444"/>
          <w:kern w:val="0"/>
          <w:sz w:val="24"/>
          <w:szCs w:val="24"/>
        </w:rPr>
        <w:t>适当奖补</w:t>
      </w:r>
      <w:proofErr w:type="gramEnd"/>
      <w:r w:rsidRPr="00CE7652">
        <w:rPr>
          <w:rFonts w:ascii="微软雅黑" w:eastAsia="微软雅黑" w:hAnsi="微软雅黑" w:cs="宋体" w:hint="eastAsia"/>
          <w:color w:val="444444"/>
          <w:kern w:val="0"/>
          <w:sz w:val="24"/>
          <w:szCs w:val="24"/>
        </w:rPr>
        <w:t>。对独立设计，创国家优秀设计一、二、三等奖的建筑设计企业，由受益财政分别</w:t>
      </w:r>
      <w:proofErr w:type="gramStart"/>
      <w:r w:rsidRPr="00CE7652">
        <w:rPr>
          <w:rFonts w:ascii="微软雅黑" w:eastAsia="微软雅黑" w:hAnsi="微软雅黑" w:cs="宋体" w:hint="eastAsia"/>
          <w:color w:val="444444"/>
          <w:kern w:val="0"/>
          <w:sz w:val="24"/>
          <w:szCs w:val="24"/>
        </w:rPr>
        <w:t>一次性奖补5万元</w:t>
      </w:r>
      <w:proofErr w:type="gramEnd"/>
      <w:r w:rsidRPr="00CE7652">
        <w:rPr>
          <w:rFonts w:ascii="微软雅黑" w:eastAsia="微软雅黑" w:hAnsi="微软雅黑" w:cs="宋体" w:hint="eastAsia"/>
          <w:color w:val="444444"/>
          <w:kern w:val="0"/>
          <w:sz w:val="24"/>
          <w:szCs w:val="24"/>
        </w:rPr>
        <w:t>、2万元、1万元。</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(十二)鼓励企业立足荆州创新发展。</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1.</w:t>
      </w:r>
      <w:proofErr w:type="gramStart"/>
      <w:r w:rsidRPr="00CE7652">
        <w:rPr>
          <w:rFonts w:ascii="微软雅黑" w:eastAsia="微软雅黑" w:hAnsi="微软雅黑" w:cs="宋体" w:hint="eastAsia"/>
          <w:color w:val="444444"/>
          <w:kern w:val="0"/>
          <w:sz w:val="24"/>
          <w:szCs w:val="24"/>
        </w:rPr>
        <w:t>凡建筑</w:t>
      </w:r>
      <w:proofErr w:type="gramEnd"/>
      <w:r w:rsidRPr="00CE7652">
        <w:rPr>
          <w:rFonts w:ascii="微软雅黑" w:eastAsia="微软雅黑" w:hAnsi="微软雅黑" w:cs="宋体" w:hint="eastAsia"/>
          <w:color w:val="444444"/>
          <w:kern w:val="0"/>
          <w:sz w:val="24"/>
          <w:szCs w:val="24"/>
        </w:rPr>
        <w:t>企业原在外地注册变更回荆州注册的，从注册当年起3年内在我市缴纳企业所得税留成部分按照第一年80%、第二年60%、第三年30%的比例由受益财政奖补给企业。</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2.增强企业科技创新能力。鼓励企业之间以及建筑企业与科研机构、勘察设计、高校院所等合作，建立产、学、</w:t>
      </w:r>
      <w:proofErr w:type="gramStart"/>
      <w:r w:rsidRPr="00CE7652">
        <w:rPr>
          <w:rFonts w:ascii="微软雅黑" w:eastAsia="微软雅黑" w:hAnsi="微软雅黑" w:cs="宋体" w:hint="eastAsia"/>
          <w:color w:val="444444"/>
          <w:kern w:val="0"/>
          <w:sz w:val="24"/>
          <w:szCs w:val="24"/>
        </w:rPr>
        <w:t>研</w:t>
      </w:r>
      <w:proofErr w:type="gramEnd"/>
      <w:r w:rsidRPr="00CE7652">
        <w:rPr>
          <w:rFonts w:ascii="微软雅黑" w:eastAsia="微软雅黑" w:hAnsi="微软雅黑" w:cs="宋体" w:hint="eastAsia"/>
          <w:color w:val="444444"/>
          <w:kern w:val="0"/>
          <w:sz w:val="24"/>
          <w:szCs w:val="24"/>
        </w:rPr>
        <w:t>相结合的技术创新体系。鼓励企业建</w:t>
      </w:r>
      <w:r w:rsidRPr="00CE7652">
        <w:rPr>
          <w:rFonts w:ascii="微软雅黑" w:eastAsia="微软雅黑" w:hAnsi="微软雅黑" w:cs="宋体" w:hint="eastAsia"/>
          <w:color w:val="444444"/>
          <w:kern w:val="0"/>
          <w:sz w:val="24"/>
          <w:szCs w:val="24"/>
        </w:rPr>
        <w:lastRenderedPageBreak/>
        <w:t>立国家级、省级重点实验室和企业技术中心。支持建筑企业及勘察设计企业申报国家和省级科技专项资金，对纳入国家和省计划的建筑科研开发项目按规定实行税费优惠。对认定为</w:t>
      </w:r>
      <w:hyperlink r:id="rId15" w:tgtFrame="_blank" w:history="1">
        <w:r w:rsidRPr="00CE7652">
          <w:rPr>
            <w:rFonts w:ascii="微软雅黑" w:eastAsia="微软雅黑" w:hAnsi="微软雅黑" w:cs="宋体" w:hint="eastAsia"/>
            <w:color w:val="CC0000"/>
            <w:kern w:val="0"/>
            <w:sz w:val="24"/>
            <w:szCs w:val="24"/>
          </w:rPr>
          <w:t>高新技术</w:t>
        </w:r>
      </w:hyperlink>
      <w:r w:rsidRPr="00CE7652">
        <w:rPr>
          <w:rFonts w:ascii="微软雅黑" w:eastAsia="微软雅黑" w:hAnsi="微软雅黑" w:cs="宋体" w:hint="eastAsia"/>
          <w:color w:val="444444"/>
          <w:kern w:val="0"/>
          <w:sz w:val="24"/>
          <w:szCs w:val="24"/>
        </w:rPr>
        <w:t>企业的，按15%的税率征收企业所得税。鼓励企业转让技术成果，对建筑企业及勘察设计企业在1个纳税年度内符合条件的技术转让所得不超过500万元的部分，免征企业所得税;超过500万元的部分，减半征收企业所得税。由受益财政对新认定为国家、省和本市企业技术中心的建筑企业，</w:t>
      </w:r>
      <w:proofErr w:type="gramStart"/>
      <w:r w:rsidRPr="00CE7652">
        <w:rPr>
          <w:rFonts w:ascii="微软雅黑" w:eastAsia="微软雅黑" w:hAnsi="微软雅黑" w:cs="宋体" w:hint="eastAsia"/>
          <w:color w:val="444444"/>
          <w:kern w:val="0"/>
          <w:sz w:val="24"/>
          <w:szCs w:val="24"/>
        </w:rPr>
        <w:t>分别奖补20万元</w:t>
      </w:r>
      <w:proofErr w:type="gramEnd"/>
      <w:r w:rsidRPr="00CE7652">
        <w:rPr>
          <w:rFonts w:ascii="微软雅黑" w:eastAsia="微软雅黑" w:hAnsi="微软雅黑" w:cs="宋体" w:hint="eastAsia"/>
          <w:color w:val="444444"/>
          <w:kern w:val="0"/>
          <w:sz w:val="24"/>
          <w:szCs w:val="24"/>
        </w:rPr>
        <w:t>、10万元、5万元;对获得国家级工法奖的建筑企业</w:t>
      </w:r>
      <w:proofErr w:type="gramStart"/>
      <w:r w:rsidRPr="00CE7652">
        <w:rPr>
          <w:rFonts w:ascii="微软雅黑" w:eastAsia="微软雅黑" w:hAnsi="微软雅黑" w:cs="宋体" w:hint="eastAsia"/>
          <w:color w:val="444444"/>
          <w:kern w:val="0"/>
          <w:sz w:val="24"/>
          <w:szCs w:val="24"/>
        </w:rPr>
        <w:t>每项奖补10万元</w:t>
      </w:r>
      <w:proofErr w:type="gramEnd"/>
      <w:r w:rsidRPr="00CE7652">
        <w:rPr>
          <w:rFonts w:ascii="微软雅黑" w:eastAsia="微软雅黑" w:hAnsi="微软雅黑" w:cs="宋体" w:hint="eastAsia"/>
          <w:color w:val="444444"/>
          <w:kern w:val="0"/>
          <w:sz w:val="24"/>
          <w:szCs w:val="24"/>
        </w:rPr>
        <w:t>，获得省级工法奖的</w:t>
      </w:r>
      <w:proofErr w:type="gramStart"/>
      <w:r w:rsidRPr="00CE7652">
        <w:rPr>
          <w:rFonts w:ascii="微软雅黑" w:eastAsia="微软雅黑" w:hAnsi="微软雅黑" w:cs="宋体" w:hint="eastAsia"/>
          <w:color w:val="444444"/>
          <w:kern w:val="0"/>
          <w:sz w:val="24"/>
          <w:szCs w:val="24"/>
        </w:rPr>
        <w:t>每项奖补2万元</w:t>
      </w:r>
      <w:proofErr w:type="gramEnd"/>
      <w:r w:rsidRPr="00CE7652">
        <w:rPr>
          <w:rFonts w:ascii="微软雅黑" w:eastAsia="微软雅黑" w:hAnsi="微软雅黑" w:cs="宋体" w:hint="eastAsia"/>
          <w:color w:val="444444"/>
          <w:kern w:val="0"/>
          <w:sz w:val="24"/>
          <w:szCs w:val="24"/>
        </w:rPr>
        <w:t>。</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3.鼓励企业打造高素质人才队伍。将建筑业引进人才和接纳大专院校毕业生的住房需求纳入保障性住房分配体系。对获得国家级设计大奖、国家级工程质量(安全)奖、国家级施工</w:t>
      </w:r>
      <w:proofErr w:type="gramStart"/>
      <w:r w:rsidRPr="00CE7652">
        <w:rPr>
          <w:rFonts w:ascii="微软雅黑" w:eastAsia="微软雅黑" w:hAnsi="微软雅黑" w:cs="宋体" w:hint="eastAsia"/>
          <w:color w:val="444444"/>
          <w:kern w:val="0"/>
          <w:sz w:val="24"/>
          <w:szCs w:val="24"/>
        </w:rPr>
        <w:t>工</w:t>
      </w:r>
      <w:proofErr w:type="gramEnd"/>
      <w:r w:rsidRPr="00CE7652">
        <w:rPr>
          <w:rFonts w:ascii="微软雅黑" w:eastAsia="微软雅黑" w:hAnsi="微软雅黑" w:cs="宋体" w:hint="eastAsia"/>
          <w:color w:val="444444"/>
          <w:kern w:val="0"/>
          <w:sz w:val="24"/>
          <w:szCs w:val="24"/>
        </w:rPr>
        <w:t>法或3项省级优质工程的项目负责人和专业技术负责人，在评定职称时可以破格推荐。企业发生的职工教育经费支出不超过工资薪金总额2.5%的部分，准予纳税时扣除，超过部分准予在以后纳税年度结转扣除。</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4.鼓励企业技改投入。经税务机关批准，年综合折旧率提高到12.5%。主要中试设备折旧率提高到15%至20%。</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对发生重大安全事故、重大质量问题，造成较大损失的;因拖欠农民工工资、质量安全等违法违规行为被有关职能部门查处的;招标过程及标后履约存在重大违法、违规行为被查处的或有其他不良行为被公示的企业，当年不得享受相应的优惠政策。</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b/>
          <w:bCs/>
          <w:color w:val="444444"/>
          <w:kern w:val="0"/>
          <w:sz w:val="24"/>
          <w:szCs w:val="24"/>
        </w:rPr>
        <w:lastRenderedPageBreak/>
        <w:t xml:space="preserve">　　四、加强组织领导</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十三)建立建筑业发展工作联系机制。大力支持本市建筑企业发展，将建筑龙头企业和支柱企业分别纳入市级或部门领导联系企业制度中。市政府每年召开1次建筑业联系工作会议，每两年召开1次建筑业大会。各级建筑行业主管部门要建立企业开拓外埠市场联络服务机制，加强与外埠市场行业主管部门的联系，切实为企业开拓外埠市场创造良好的环境。将建筑业发展工作纳入政府督查的重要内容。</w:t>
      </w:r>
    </w:p>
    <w:p w:rsidR="00CE7652" w:rsidRPr="00CE7652" w:rsidRDefault="00CE7652" w:rsidP="00CE7652">
      <w:pPr>
        <w:widowControl/>
        <w:spacing w:before="150" w:after="150" w:line="450" w:lineRule="atLeast"/>
        <w:jc w:val="lef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本意见所涉及的建筑业企业是指工商登记、税务登记在本市行政区域内从事土木工程、建筑工程、市政工程、水利水电、</w:t>
      </w:r>
      <w:hyperlink r:id="rId16" w:tgtFrame="_blank" w:history="1">
        <w:r w:rsidRPr="00CE7652">
          <w:rPr>
            <w:rFonts w:ascii="微软雅黑" w:eastAsia="微软雅黑" w:hAnsi="微软雅黑" w:cs="宋体" w:hint="eastAsia"/>
            <w:color w:val="CC0000"/>
            <w:kern w:val="0"/>
            <w:sz w:val="24"/>
            <w:szCs w:val="24"/>
          </w:rPr>
          <w:t>公路</w:t>
        </w:r>
      </w:hyperlink>
      <w:r w:rsidRPr="00CE7652">
        <w:rPr>
          <w:rFonts w:ascii="微软雅黑" w:eastAsia="微软雅黑" w:hAnsi="微软雅黑" w:cs="宋体" w:hint="eastAsia"/>
          <w:color w:val="444444"/>
          <w:kern w:val="0"/>
          <w:sz w:val="24"/>
          <w:szCs w:val="24"/>
        </w:rPr>
        <w:t>工程、线路管道和设备安装及装修装饰工程的设计、勘察、检测、总承包、专业承包和劳务分包企业，但不包括市外建筑业在我市设立的分公司。各县(市、区)及市直有关部门可根据本意见精神，研究制定相关实施细则。</w:t>
      </w:r>
    </w:p>
    <w:p w:rsidR="00CE7652" w:rsidRPr="00CE7652" w:rsidRDefault="00CE7652" w:rsidP="00CE7652">
      <w:pPr>
        <w:widowControl/>
        <w:spacing w:before="150" w:after="150" w:line="450" w:lineRule="atLeast"/>
        <w:jc w:val="righ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w:t>
      </w:r>
    </w:p>
    <w:p w:rsidR="00CE7652" w:rsidRPr="00CE7652" w:rsidRDefault="00CE7652" w:rsidP="00CE7652">
      <w:pPr>
        <w:widowControl/>
        <w:spacing w:before="150" w:after="150" w:line="450" w:lineRule="atLeast"/>
        <w:jc w:val="right"/>
        <w:rPr>
          <w:rFonts w:ascii="微软雅黑" w:eastAsia="微软雅黑" w:hAnsi="微软雅黑" w:cs="宋体" w:hint="eastAsia"/>
          <w:color w:val="444444"/>
          <w:kern w:val="0"/>
          <w:sz w:val="24"/>
          <w:szCs w:val="24"/>
        </w:rPr>
      </w:pPr>
      <w:r w:rsidRPr="00CE7652">
        <w:rPr>
          <w:rFonts w:ascii="微软雅黑" w:eastAsia="微软雅黑" w:hAnsi="微软雅黑" w:cs="宋体" w:hint="eastAsia"/>
          <w:color w:val="444444"/>
          <w:kern w:val="0"/>
          <w:sz w:val="24"/>
          <w:szCs w:val="24"/>
        </w:rPr>
        <w:t xml:space="preserve">　　2015年8月20日</w:t>
      </w:r>
    </w:p>
    <w:p w:rsidR="001846FF" w:rsidRDefault="00CE7652"/>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8E"/>
    <w:rsid w:val="00A35C72"/>
    <w:rsid w:val="00A8058E"/>
    <w:rsid w:val="00CD7245"/>
    <w:rsid w:val="00CE7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A1966-FE4C-44CE-8776-1BB5EB7C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E7652"/>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CE765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7652"/>
    <w:rPr>
      <w:rFonts w:ascii="宋体" w:eastAsia="宋体" w:hAnsi="宋体" w:cs="宋体"/>
      <w:b/>
      <w:bCs/>
      <w:color w:val="333333"/>
      <w:kern w:val="36"/>
      <w:sz w:val="36"/>
      <w:szCs w:val="36"/>
    </w:rPr>
  </w:style>
  <w:style w:type="character" w:customStyle="1" w:styleId="2Char">
    <w:name w:val="标题 2 Char"/>
    <w:basedOn w:val="a0"/>
    <w:link w:val="2"/>
    <w:uiPriority w:val="9"/>
    <w:rsid w:val="00CE7652"/>
    <w:rPr>
      <w:rFonts w:ascii="宋体" w:eastAsia="宋体" w:hAnsi="宋体" w:cs="宋体"/>
      <w:b/>
      <w:bCs/>
      <w:kern w:val="0"/>
      <w:sz w:val="36"/>
      <w:szCs w:val="36"/>
    </w:rPr>
  </w:style>
  <w:style w:type="character" w:styleId="a3">
    <w:name w:val="Strong"/>
    <w:basedOn w:val="a0"/>
    <w:uiPriority w:val="22"/>
    <w:qFormat/>
    <w:rsid w:val="00CE7652"/>
    <w:rPr>
      <w:b/>
      <w:bCs/>
    </w:rPr>
  </w:style>
  <w:style w:type="character" w:customStyle="1" w:styleId="bsharecount">
    <w:name w:val="bshare_count"/>
    <w:basedOn w:val="a0"/>
    <w:rsid w:val="00CE7652"/>
  </w:style>
  <w:style w:type="character" w:customStyle="1" w:styleId="sumcolor1">
    <w:name w:val="sum_color1"/>
    <w:basedOn w:val="a0"/>
    <w:rsid w:val="00CE7652"/>
    <w:rPr>
      <w:color w:val="FFFFFF"/>
      <w:shd w:val="clear" w:color="auto" w:fill="608FAF"/>
    </w:rPr>
  </w:style>
  <w:style w:type="character" w:customStyle="1" w:styleId="sumtir1">
    <w:name w:val="sum_tir1"/>
    <w:basedOn w:val="a0"/>
    <w:rsid w:val="00CE7652"/>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47510">
      <w:bodyDiv w:val="1"/>
      <w:marLeft w:val="0"/>
      <w:marRight w:val="0"/>
      <w:marTop w:val="0"/>
      <w:marBottom w:val="0"/>
      <w:divBdr>
        <w:top w:val="none" w:sz="0" w:space="0" w:color="auto"/>
        <w:left w:val="none" w:sz="0" w:space="0" w:color="auto"/>
        <w:bottom w:val="none" w:sz="0" w:space="0" w:color="auto"/>
        <w:right w:val="none" w:sz="0" w:space="0" w:color="auto"/>
      </w:divBdr>
      <w:divsChild>
        <w:div w:id="2090155743">
          <w:marLeft w:val="0"/>
          <w:marRight w:val="0"/>
          <w:marTop w:val="0"/>
          <w:marBottom w:val="0"/>
          <w:divBdr>
            <w:top w:val="none" w:sz="0" w:space="0" w:color="auto"/>
            <w:left w:val="none" w:sz="0" w:space="0" w:color="auto"/>
            <w:bottom w:val="none" w:sz="0" w:space="0" w:color="auto"/>
            <w:right w:val="none" w:sz="0" w:space="0" w:color="auto"/>
          </w:divBdr>
          <w:divsChild>
            <w:div w:id="2142186172">
              <w:marLeft w:val="0"/>
              <w:marRight w:val="0"/>
              <w:marTop w:val="150"/>
              <w:marBottom w:val="0"/>
              <w:divBdr>
                <w:top w:val="single" w:sz="6" w:space="0" w:color="E4E4E4"/>
                <w:left w:val="single" w:sz="6" w:space="0" w:color="E4E4E4"/>
                <w:bottom w:val="single" w:sz="6" w:space="0" w:color="E4E4E4"/>
                <w:right w:val="single" w:sz="6" w:space="0" w:color="E4E4E4"/>
              </w:divBdr>
              <w:divsChild>
                <w:div w:id="1462263723">
                  <w:marLeft w:val="0"/>
                  <w:marRight w:val="0"/>
                  <w:marTop w:val="0"/>
                  <w:marBottom w:val="0"/>
                  <w:divBdr>
                    <w:top w:val="none" w:sz="0" w:space="0" w:color="auto"/>
                    <w:left w:val="none" w:sz="0" w:space="0" w:color="auto"/>
                    <w:bottom w:val="none" w:sz="0" w:space="0" w:color="auto"/>
                    <w:right w:val="none" w:sz="0" w:space="0" w:color="auto"/>
                  </w:divBdr>
                </w:div>
                <w:div w:id="1756392157">
                  <w:marLeft w:val="0"/>
                  <w:marRight w:val="0"/>
                  <w:marTop w:val="0"/>
                  <w:marBottom w:val="0"/>
                  <w:divBdr>
                    <w:top w:val="none" w:sz="0" w:space="0" w:color="auto"/>
                    <w:left w:val="none" w:sz="0" w:space="0" w:color="auto"/>
                    <w:bottom w:val="dashed" w:sz="6" w:space="6" w:color="E4E4E4"/>
                    <w:right w:val="none" w:sz="0" w:space="0" w:color="auto"/>
                  </w:divBdr>
                  <w:divsChild>
                    <w:div w:id="1074594927">
                      <w:marLeft w:val="150"/>
                      <w:marRight w:val="150"/>
                      <w:marTop w:val="0"/>
                      <w:marBottom w:val="0"/>
                      <w:divBdr>
                        <w:top w:val="none" w:sz="0" w:space="0" w:color="auto"/>
                        <w:left w:val="none" w:sz="0" w:space="0" w:color="auto"/>
                        <w:bottom w:val="none" w:sz="0" w:space="0" w:color="auto"/>
                        <w:right w:val="none" w:sz="0" w:space="0" w:color="auto"/>
                      </w:divBdr>
                    </w:div>
                    <w:div w:id="635257701">
                      <w:marLeft w:val="0"/>
                      <w:marRight w:val="0"/>
                      <w:marTop w:val="0"/>
                      <w:marBottom w:val="0"/>
                      <w:divBdr>
                        <w:top w:val="none" w:sz="0" w:space="0" w:color="auto"/>
                        <w:left w:val="none" w:sz="0" w:space="0" w:color="auto"/>
                        <w:bottom w:val="none" w:sz="0" w:space="0" w:color="auto"/>
                        <w:right w:val="none" w:sz="0" w:space="0" w:color="auto"/>
                      </w:divBdr>
                    </w:div>
                    <w:div w:id="665668330">
                      <w:marLeft w:val="150"/>
                      <w:marRight w:val="150"/>
                      <w:marTop w:val="0"/>
                      <w:marBottom w:val="0"/>
                      <w:divBdr>
                        <w:top w:val="none" w:sz="0" w:space="0" w:color="auto"/>
                        <w:left w:val="none" w:sz="0" w:space="0" w:color="auto"/>
                        <w:bottom w:val="none" w:sz="0" w:space="0" w:color="auto"/>
                        <w:right w:val="none" w:sz="0" w:space="0" w:color="auto"/>
                      </w:divBdr>
                    </w:div>
                    <w:div w:id="160657875">
                      <w:marLeft w:val="0"/>
                      <w:marRight w:val="0"/>
                      <w:marTop w:val="0"/>
                      <w:marBottom w:val="0"/>
                      <w:divBdr>
                        <w:top w:val="none" w:sz="0" w:space="0" w:color="auto"/>
                        <w:left w:val="none" w:sz="0" w:space="0" w:color="auto"/>
                        <w:bottom w:val="none" w:sz="0" w:space="0" w:color="auto"/>
                        <w:right w:val="none" w:sz="0" w:space="0" w:color="auto"/>
                      </w:divBdr>
                    </w:div>
                    <w:div w:id="1565070834">
                      <w:marLeft w:val="0"/>
                      <w:marRight w:val="0"/>
                      <w:marTop w:val="0"/>
                      <w:marBottom w:val="0"/>
                      <w:divBdr>
                        <w:top w:val="none" w:sz="0" w:space="0" w:color="auto"/>
                        <w:left w:val="none" w:sz="0" w:space="0" w:color="auto"/>
                        <w:bottom w:val="none" w:sz="0" w:space="0" w:color="auto"/>
                        <w:right w:val="none" w:sz="0" w:space="0" w:color="auto"/>
                      </w:divBdr>
                    </w:div>
                    <w:div w:id="1172061761">
                      <w:marLeft w:val="0"/>
                      <w:marRight w:val="0"/>
                      <w:marTop w:val="0"/>
                      <w:marBottom w:val="0"/>
                      <w:divBdr>
                        <w:top w:val="none" w:sz="0" w:space="0" w:color="auto"/>
                        <w:left w:val="none" w:sz="0" w:space="0" w:color="auto"/>
                        <w:bottom w:val="none" w:sz="0" w:space="0" w:color="auto"/>
                        <w:right w:val="none" w:sz="0" w:space="0" w:color="auto"/>
                      </w:divBdr>
                    </w:div>
                    <w:div w:id="1573807707">
                      <w:marLeft w:val="0"/>
                      <w:marRight w:val="150"/>
                      <w:marTop w:val="0"/>
                      <w:marBottom w:val="0"/>
                      <w:divBdr>
                        <w:top w:val="none" w:sz="0" w:space="0" w:color="auto"/>
                        <w:left w:val="none" w:sz="0" w:space="0" w:color="auto"/>
                        <w:bottom w:val="none" w:sz="0" w:space="0" w:color="auto"/>
                        <w:right w:val="none" w:sz="0" w:space="0" w:color="auto"/>
                      </w:divBdr>
                    </w:div>
                  </w:divsChild>
                </w:div>
                <w:div w:id="1518108394">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gsxzs.cn/industry/1072.html" TargetMode="External"/><Relationship Id="rId13" Type="http://schemas.openxmlformats.org/officeDocument/2006/relationships/hyperlink" Target="http://www.zgsxzs.com/list-1212.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gsxzs.cn/industry/1072.html" TargetMode="External"/><Relationship Id="rId12" Type="http://schemas.openxmlformats.org/officeDocument/2006/relationships/hyperlink" Target="http://www.zgsxzs.com/industry/1078.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zgsxzs.com/c/HangYeFenLei.php?typeid2=187" TargetMode="External"/><Relationship Id="rId1" Type="http://schemas.openxmlformats.org/officeDocument/2006/relationships/styles" Target="styles.xml"/><Relationship Id="rId6" Type="http://schemas.openxmlformats.org/officeDocument/2006/relationships/hyperlink" Target="http://www.zgsxzs.com/industry/1118.html" TargetMode="External"/><Relationship Id="rId11" Type="http://schemas.openxmlformats.org/officeDocument/2006/relationships/hyperlink" Target="http://www.zgsxzs.com/industry/1092.html" TargetMode="External"/><Relationship Id="rId5" Type="http://schemas.openxmlformats.org/officeDocument/2006/relationships/hyperlink" Target="http://www.zgsxzs.com/cate_child.php?pid=12&amp;cid=185" TargetMode="External"/><Relationship Id="rId15" Type="http://schemas.openxmlformats.org/officeDocument/2006/relationships/hyperlink" Target="http://www.zgsxzs.com/industry/1092.html" TargetMode="External"/><Relationship Id="rId10" Type="http://schemas.openxmlformats.org/officeDocument/2006/relationships/hyperlink" Target="http://www.zgsxzs.com/industry/1092.html" TargetMode="External"/><Relationship Id="rId4" Type="http://schemas.openxmlformats.org/officeDocument/2006/relationships/hyperlink" Target="http://www.zgsxzs.com/cate_child.php?pid=12&amp;cid=185" TargetMode="External"/><Relationship Id="rId9" Type="http://schemas.openxmlformats.org/officeDocument/2006/relationships/hyperlink" Target="http://www.zgsxzs.com/category.php?pid=12" TargetMode="External"/><Relationship Id="rId14" Type="http://schemas.openxmlformats.org/officeDocument/2006/relationships/hyperlink" Target="http://www.zgsxzs.com/c/HangYeFenLei.php?typeid2=1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2018-05-04T03:49:00Z</dcterms:created>
  <dcterms:modified xsi:type="dcterms:W3CDTF">2018-05-04T03:49:00Z</dcterms:modified>
</cp:coreProperties>
</file>