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87E" w:rsidRPr="00D9187E" w:rsidRDefault="00D9187E" w:rsidP="00D9187E">
      <w:pPr>
        <w:widowControl/>
        <w:shd w:val="clear" w:color="auto" w:fill="FFFFFF"/>
        <w:spacing w:before="100" w:beforeAutospacing="1" w:after="100" w:afterAutospacing="1" w:line="600" w:lineRule="atLeast"/>
        <w:jc w:val="right"/>
        <w:rPr>
          <w:rFonts w:ascii="宋体" w:eastAsia="宋体" w:hAnsi="宋体" w:cs="宋体"/>
          <w:color w:val="000000"/>
          <w:kern w:val="0"/>
          <w:szCs w:val="21"/>
        </w:rPr>
      </w:pPr>
      <w:r w:rsidRPr="00D9187E">
        <w:rPr>
          <w:rFonts w:ascii="宋体" w:eastAsia="宋体" w:hAnsi="宋体" w:cs="宋体" w:hint="eastAsia"/>
          <w:color w:val="000000"/>
          <w:kern w:val="0"/>
          <w:sz w:val="24"/>
          <w:szCs w:val="24"/>
        </w:rPr>
        <w:t>                        渝文备〔2018〕152号</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bookmarkStart w:id="0" w:name="_GoBack"/>
      <w:r w:rsidRPr="00D9187E">
        <w:rPr>
          <w:rFonts w:ascii="黑体" w:eastAsia="黑体" w:hAnsi="黑体" w:cs="宋体" w:hint="eastAsia"/>
          <w:color w:val="000000"/>
          <w:kern w:val="0"/>
          <w:sz w:val="42"/>
          <w:szCs w:val="42"/>
        </w:rPr>
        <w:t>重庆市潼南区人民政府办公室</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42"/>
          <w:szCs w:val="42"/>
        </w:rPr>
        <w:t>关于印发潼南区促进高新技术产业发展</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42"/>
          <w:szCs w:val="42"/>
        </w:rPr>
        <w:t>实施办法的通知</w:t>
      </w:r>
    </w:p>
    <w:bookmarkEnd w:id="0"/>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潼南府办发</w:t>
      </w:r>
      <w:r w:rsidRPr="00D9187E">
        <w:rPr>
          <w:rFonts w:ascii="宋体" w:eastAsia="宋体" w:hAnsi="宋体" w:cs="宋体" w:hint="eastAsia"/>
          <w:color w:val="000000"/>
          <w:kern w:val="0"/>
          <w:sz w:val="32"/>
          <w:szCs w:val="32"/>
        </w:rPr>
        <w:t>〔</w:t>
      </w:r>
      <w:r w:rsidRPr="00D9187E">
        <w:rPr>
          <w:rFonts w:ascii="Times New Roman" w:eastAsia="宋体" w:hAnsi="Times New Roman" w:cs="Times New Roman"/>
          <w:color w:val="000000"/>
          <w:kern w:val="0"/>
          <w:sz w:val="24"/>
          <w:szCs w:val="24"/>
        </w:rPr>
        <w:t>2017</w:t>
      </w:r>
      <w:r w:rsidRPr="00D9187E">
        <w:rPr>
          <w:rFonts w:ascii="宋体" w:eastAsia="宋体" w:hAnsi="宋体" w:cs="宋体" w:hint="eastAsia"/>
          <w:color w:val="000000"/>
          <w:kern w:val="0"/>
          <w:sz w:val="24"/>
          <w:szCs w:val="24"/>
        </w:rPr>
        <w:t>〕</w:t>
      </w:r>
      <w:r w:rsidRPr="00D9187E">
        <w:rPr>
          <w:rFonts w:ascii="Times New Roman" w:eastAsia="宋体" w:hAnsi="Times New Roman" w:cs="Times New Roman"/>
          <w:color w:val="000000"/>
          <w:kern w:val="0"/>
          <w:sz w:val="24"/>
          <w:szCs w:val="24"/>
        </w:rPr>
        <w:t>49</w:t>
      </w:r>
      <w:r w:rsidRPr="00D9187E">
        <w:rPr>
          <w:rFonts w:ascii="Times New Roman" w:eastAsia="宋体" w:hAnsi="Times New Roman" w:cs="Times New Roman"/>
          <w:color w:val="000000"/>
          <w:kern w:val="0"/>
          <w:sz w:val="32"/>
          <w:szCs w:val="32"/>
        </w:rPr>
        <w:t> </w:t>
      </w:r>
      <w:r w:rsidRPr="00D9187E">
        <w:rPr>
          <w:rFonts w:ascii="宋体" w:eastAsia="宋体" w:hAnsi="宋体" w:cs="宋体" w:hint="eastAsia"/>
          <w:color w:val="000000"/>
          <w:kern w:val="0"/>
          <w:sz w:val="24"/>
          <w:szCs w:val="24"/>
        </w:rPr>
        <w:t>号</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各镇人民政府、街道办事处，区政府各部门，有关单位：</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《潼南区促进高新技术产业发展实施办法》已经区政府研究同意，现印发给你们，请认真贯彻执行。</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right="480"/>
        <w:jc w:val="right"/>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重庆市潼南区人民政府办公室</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2017</w:t>
      </w:r>
      <w:r w:rsidRPr="00D9187E">
        <w:rPr>
          <w:rFonts w:ascii="宋体" w:eastAsia="宋体" w:hAnsi="宋体" w:cs="宋体" w:hint="eastAsia"/>
          <w:color w:val="000000"/>
          <w:kern w:val="0"/>
          <w:sz w:val="24"/>
          <w:szCs w:val="24"/>
        </w:rPr>
        <w:t>年</w:t>
      </w:r>
      <w:r w:rsidRPr="00D9187E">
        <w:rPr>
          <w:rFonts w:ascii="Times New Roman" w:eastAsia="宋体" w:hAnsi="Times New Roman" w:cs="Times New Roman"/>
          <w:color w:val="000000"/>
          <w:kern w:val="0"/>
          <w:sz w:val="24"/>
          <w:szCs w:val="24"/>
        </w:rPr>
        <w:t>12</w:t>
      </w:r>
      <w:r w:rsidRPr="00D9187E">
        <w:rPr>
          <w:rFonts w:ascii="宋体" w:eastAsia="宋体" w:hAnsi="宋体" w:cs="宋体" w:hint="eastAsia"/>
          <w:color w:val="000000"/>
          <w:kern w:val="0"/>
          <w:sz w:val="24"/>
          <w:szCs w:val="24"/>
        </w:rPr>
        <w:t>月</w:t>
      </w:r>
      <w:r w:rsidRPr="00D9187E">
        <w:rPr>
          <w:rFonts w:ascii="Times New Roman" w:eastAsia="宋体" w:hAnsi="Times New Roman" w:cs="Times New Roman"/>
          <w:color w:val="000000"/>
          <w:kern w:val="0"/>
          <w:sz w:val="24"/>
          <w:szCs w:val="24"/>
        </w:rPr>
        <w:t>25</w:t>
      </w:r>
      <w:r w:rsidRPr="00D9187E">
        <w:rPr>
          <w:rFonts w:ascii="宋体" w:eastAsia="宋体" w:hAnsi="宋体" w:cs="宋体" w:hint="eastAsia"/>
          <w:color w:val="000000"/>
          <w:kern w:val="0"/>
          <w:sz w:val="24"/>
          <w:szCs w:val="24"/>
        </w:rPr>
        <w:t>日</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lastRenderedPageBreak/>
        <w:t>                                                                 （此件公开发布）</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42"/>
          <w:szCs w:val="42"/>
        </w:rPr>
        <w:t>潼南区促进高新技术产业发展实施办法</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Calibri" w:eastAsia="黑体" w:hAnsi="Calibri" w:cs="Calibri"/>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24"/>
          <w:szCs w:val="24"/>
        </w:rPr>
        <w:t>第一章</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总</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则</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Times New Roman" w:eastAsia="宋体" w:hAnsi="Times New Roman" w:cs="Times New Roman"/>
          <w:b/>
          <w:bCs/>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第一条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为了促进潼南区高新技术产业发展，鼓励和支持区内各市场主体研发和科技成果转化，提升区域科技创新实力，推动传统产业转型升级和高新技术产业培育壮大，结合本区实际，制定本办法。</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第二条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本办法适用于在潼南区内工商注册、经营、纳税的具有独立主体资格的企业事业单位、社团组织，以及具有本行政区域户籍的常住居民。</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第三条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区政府每年整合相关部门资金用于高新技术产业发展，采用后补助、奖励等方式，支持培育创新主体、建设创新人才队伍、发展科技创新平台、建立科技金融支撑体系、实施知识产权战略、促进科技成果转移转化等事项。</w:t>
      </w: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Calibri" w:eastAsia="黑体" w:hAnsi="Calibri" w:cs="Calibri"/>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24"/>
          <w:szCs w:val="24"/>
        </w:rPr>
        <w:t>第二章</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培育创新主体</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第四条  </w:t>
      </w:r>
      <w:r w:rsidRPr="00D9187E">
        <w:rPr>
          <w:rFonts w:ascii="宋体" w:eastAsia="宋体" w:hAnsi="宋体" w:cs="宋体" w:hint="eastAsia"/>
          <w:color w:val="000000"/>
          <w:kern w:val="0"/>
          <w:sz w:val="24"/>
          <w:szCs w:val="24"/>
        </w:rPr>
        <w:t>科技型企业落户奖励。企业按《重庆市科技型企业标准和管理实施细则》要求，首次完成科技型企业审核入库的，一次性给予</w:t>
      </w:r>
      <w:r w:rsidRPr="00D9187E">
        <w:rPr>
          <w:rFonts w:ascii="Times New Roman" w:eastAsia="宋体" w:hAnsi="Times New Roman" w:cs="Times New Roman"/>
          <w:color w:val="000000"/>
          <w:kern w:val="0"/>
          <w:sz w:val="24"/>
          <w:szCs w:val="24"/>
        </w:rPr>
        <w:t>3</w:t>
      </w:r>
      <w:r w:rsidRPr="00D9187E">
        <w:rPr>
          <w:rFonts w:ascii="宋体" w:eastAsia="宋体" w:hAnsi="宋体" w:cs="宋体" w:hint="eastAsia"/>
          <w:color w:val="000000"/>
          <w:kern w:val="0"/>
          <w:sz w:val="24"/>
          <w:szCs w:val="24"/>
        </w:rPr>
        <w:t>万元奖励。已入库的科技型企业新落户本区并达产的，给予</w:t>
      </w:r>
      <w:r w:rsidRPr="00D9187E">
        <w:rPr>
          <w:rFonts w:ascii="Times New Roman" w:eastAsia="宋体" w:hAnsi="Times New Roman" w:cs="Times New Roman"/>
          <w:color w:val="000000"/>
          <w:kern w:val="0"/>
          <w:sz w:val="24"/>
          <w:szCs w:val="24"/>
        </w:rPr>
        <w:t>3</w:t>
      </w:r>
      <w:r w:rsidRPr="00D9187E">
        <w:rPr>
          <w:rFonts w:ascii="宋体" w:eastAsia="宋体" w:hAnsi="宋体" w:cs="宋体" w:hint="eastAsia"/>
          <w:color w:val="000000"/>
          <w:kern w:val="0"/>
          <w:sz w:val="24"/>
          <w:szCs w:val="24"/>
        </w:rPr>
        <w:t>万元落户奖励。</w:t>
      </w:r>
    </w:p>
    <w:p w:rsidR="00D9187E" w:rsidRPr="00D9187E" w:rsidRDefault="00D9187E" w:rsidP="00D9187E">
      <w:pPr>
        <w:widowControl/>
        <w:shd w:val="clear" w:color="auto" w:fill="FFFFFF"/>
        <w:spacing w:before="100" w:beforeAutospacing="1" w:after="100" w:afterAutospacing="1" w:line="600" w:lineRule="atLeast"/>
        <w:ind w:firstLine="632"/>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第五条</w:t>
      </w:r>
      <w:r w:rsidRPr="00D9187E">
        <w:rPr>
          <w:rFonts w:ascii="Times New Roman" w:eastAsia="宋体" w:hAnsi="Times New Roman" w:cs="Times New Roman"/>
          <w:color w:val="0000FF"/>
          <w:kern w:val="0"/>
          <w:sz w:val="24"/>
          <w:szCs w:val="24"/>
        </w:rPr>
        <w:t>  </w:t>
      </w:r>
      <w:r w:rsidRPr="00D9187E">
        <w:rPr>
          <w:rFonts w:ascii="宋体" w:eastAsia="宋体" w:hAnsi="宋体" w:cs="宋体" w:hint="eastAsia"/>
          <w:color w:val="000000"/>
          <w:kern w:val="0"/>
          <w:sz w:val="24"/>
          <w:szCs w:val="24"/>
        </w:rPr>
        <w:t>高新技术企业落户奖励。经认定且在有效期内的国家火炬计划重点高新技术企业、高新技术企业新落户本区并达产的，给予</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万元落户奖励。</w:t>
      </w:r>
    </w:p>
    <w:p w:rsidR="00D9187E" w:rsidRPr="00D9187E" w:rsidRDefault="00D9187E" w:rsidP="00D9187E">
      <w:pPr>
        <w:widowControl/>
        <w:shd w:val="clear" w:color="auto" w:fill="FFFFFF"/>
        <w:spacing w:before="100" w:beforeAutospacing="1" w:after="100" w:afterAutospacing="1" w:line="600" w:lineRule="atLeast"/>
        <w:ind w:firstLine="632"/>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第六条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创新型企业认定奖励。对新认定的重庆市创新型十强企业一次性给予</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万元奖励。</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     第七条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高成长性科技型企业认定奖励和资助。被认定为牛羚企业、瞪羚企业、独角兽企业的，分别一次性给予</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40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100</w:t>
      </w:r>
      <w:r w:rsidRPr="00D9187E">
        <w:rPr>
          <w:rFonts w:ascii="宋体" w:eastAsia="宋体" w:hAnsi="宋体" w:cs="宋体" w:hint="eastAsia"/>
          <w:color w:val="000000"/>
          <w:kern w:val="0"/>
          <w:sz w:val="24"/>
          <w:szCs w:val="24"/>
        </w:rPr>
        <w:t>万元奖励。对具有核心创新能力的高成长性科技型企业，可按项目研发投入的</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给予不超过</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万元的区级科技计划项目资助。</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b/>
          <w:bCs/>
          <w:color w:val="000000"/>
          <w:kern w:val="0"/>
          <w:sz w:val="24"/>
          <w:szCs w:val="24"/>
        </w:rPr>
        <w:t>第八条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首台（套）重大技术装备补助。对采购使用区内首台（套）重大技术装备的企业按其实际支付额的</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给予一次性补助，最高</w:t>
      </w:r>
      <w:r w:rsidRPr="00D9187E">
        <w:rPr>
          <w:rFonts w:ascii="Times New Roman" w:eastAsia="宋体" w:hAnsi="Times New Roman" w:cs="Times New Roman"/>
          <w:color w:val="000000"/>
          <w:kern w:val="0"/>
          <w:sz w:val="24"/>
          <w:szCs w:val="24"/>
        </w:rPr>
        <w:t>100</w:t>
      </w:r>
      <w:r w:rsidRPr="00D9187E">
        <w:rPr>
          <w:rFonts w:ascii="宋体" w:eastAsia="宋体" w:hAnsi="宋体" w:cs="宋体" w:hint="eastAsia"/>
          <w:color w:val="000000"/>
          <w:kern w:val="0"/>
          <w:sz w:val="24"/>
          <w:szCs w:val="24"/>
        </w:rPr>
        <w:t>万元。</w:t>
      </w:r>
    </w:p>
    <w:p w:rsidR="00D9187E" w:rsidRPr="00D9187E" w:rsidRDefault="00D9187E" w:rsidP="00D9187E">
      <w:pPr>
        <w:widowControl/>
        <w:shd w:val="clear" w:color="auto" w:fill="FFFFFF"/>
        <w:spacing w:before="100" w:beforeAutospacing="1" w:after="100" w:afterAutospacing="1" w:line="600" w:lineRule="atLeast"/>
        <w:ind w:firstLine="634"/>
        <w:jc w:val="center"/>
        <w:rPr>
          <w:rFonts w:ascii="宋体" w:eastAsia="宋体" w:hAnsi="宋体" w:cs="宋体" w:hint="eastAsia"/>
          <w:color w:val="000000"/>
          <w:kern w:val="0"/>
          <w:szCs w:val="21"/>
        </w:rPr>
      </w:pPr>
      <w:r w:rsidRPr="00D9187E">
        <w:rPr>
          <w:rFonts w:ascii="Calibri" w:eastAsia="黑体" w:hAnsi="Calibri" w:cs="Calibri"/>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ind w:firstLine="634"/>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24"/>
          <w:szCs w:val="24"/>
        </w:rPr>
        <w:t>第三章</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建设创新人才队伍</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第九条</w:t>
      </w:r>
      <w:r w:rsidRPr="00D9187E">
        <w:rPr>
          <w:rFonts w:ascii="Times New Roman" w:eastAsia="宋体" w:hAnsi="Times New Roman" w:cs="Times New Roman"/>
          <w:color w:val="FF0000"/>
          <w:kern w:val="0"/>
          <w:sz w:val="24"/>
          <w:szCs w:val="24"/>
        </w:rPr>
        <w:t>  </w:t>
      </w:r>
      <w:r w:rsidRPr="00D9187E">
        <w:rPr>
          <w:rFonts w:ascii="宋体" w:eastAsia="宋体" w:hAnsi="宋体" w:cs="宋体" w:hint="eastAsia"/>
          <w:color w:val="000000"/>
          <w:kern w:val="0"/>
          <w:sz w:val="24"/>
          <w:szCs w:val="24"/>
        </w:rPr>
        <w:t>股权激励。科研人员以技术入股，按入股价值的</w:t>
      </w:r>
      <w:r w:rsidRPr="00D9187E">
        <w:rPr>
          <w:rFonts w:ascii="Times New Roman" w:eastAsia="宋体" w:hAnsi="Times New Roman" w:cs="Times New Roman"/>
          <w:color w:val="000000"/>
          <w:kern w:val="0"/>
          <w:sz w:val="24"/>
          <w:szCs w:val="24"/>
        </w:rPr>
        <w:t>5%</w:t>
      </w:r>
      <w:r w:rsidRPr="00D9187E">
        <w:rPr>
          <w:rFonts w:ascii="宋体" w:eastAsia="宋体" w:hAnsi="宋体" w:cs="宋体" w:hint="eastAsia"/>
          <w:color w:val="000000"/>
          <w:kern w:val="0"/>
          <w:sz w:val="24"/>
          <w:szCs w:val="24"/>
        </w:rPr>
        <w:t>给予企业补助，最高不超过</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万元。企业给予科研人员股权激励，按科研人员所得股权确权日价值的</w:t>
      </w:r>
      <w:r w:rsidRPr="00D9187E">
        <w:rPr>
          <w:rFonts w:ascii="Times New Roman" w:eastAsia="宋体" w:hAnsi="Times New Roman" w:cs="Times New Roman"/>
          <w:color w:val="000000"/>
          <w:kern w:val="0"/>
          <w:sz w:val="24"/>
          <w:szCs w:val="24"/>
        </w:rPr>
        <w:t>5%</w:t>
      </w:r>
      <w:r w:rsidRPr="00D9187E">
        <w:rPr>
          <w:rFonts w:ascii="宋体" w:eastAsia="宋体" w:hAnsi="宋体" w:cs="宋体" w:hint="eastAsia"/>
          <w:color w:val="000000"/>
          <w:kern w:val="0"/>
          <w:sz w:val="24"/>
          <w:szCs w:val="24"/>
        </w:rPr>
        <w:t>给予企业补助，最高不超过</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万元。科研人员在取得股权激励时的个人所得税按规定进行递延缴纳。</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第十条</w:t>
      </w:r>
      <w:r w:rsidRPr="00D9187E">
        <w:rPr>
          <w:rFonts w:ascii="Times New Roman" w:eastAsia="宋体" w:hAnsi="Times New Roman" w:cs="Times New Roman"/>
          <w:color w:val="FF0000"/>
          <w:kern w:val="0"/>
          <w:sz w:val="24"/>
          <w:szCs w:val="24"/>
        </w:rPr>
        <w:t> </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配套服务。创新人才在市外取得专业技术资格的，按规定予以认可后，享受本区同类人员相同待遇。企业中市级以上突出贡献专家、市级以上某一学科技术领域带头人、博士研究生或具有正高级专业技术职务任职资格人才的子女可优先就学，配偶愿意在本区就业的，可根据其原就业情况及个人条件，按照双向选择的原则做好联系协调工作。在符合规定的前提下，允许企业建设专家公寓楼（企业内部使用）。</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Calibri" w:eastAsia="黑体" w:hAnsi="Calibri" w:cs="Calibri"/>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24"/>
          <w:szCs w:val="24"/>
        </w:rPr>
        <w:t>第四章</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发展科技创新平台</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第十一条</w:t>
      </w:r>
      <w:r w:rsidRPr="00D9187E">
        <w:rPr>
          <w:rFonts w:ascii="Times New Roman" w:eastAsia="宋体" w:hAnsi="Times New Roman" w:cs="Times New Roman"/>
          <w:b/>
          <w:bCs/>
          <w:color w:val="000000"/>
          <w:kern w:val="0"/>
          <w:sz w:val="24"/>
          <w:szCs w:val="24"/>
        </w:rPr>
        <w:t>  </w:t>
      </w:r>
      <w:r w:rsidRPr="00D9187E">
        <w:rPr>
          <w:rFonts w:ascii="宋体" w:eastAsia="宋体" w:hAnsi="宋体" w:cs="宋体" w:hint="eastAsia"/>
          <w:b/>
          <w:bCs/>
          <w:color w:val="000000"/>
          <w:kern w:val="0"/>
          <w:sz w:val="24"/>
          <w:szCs w:val="24"/>
        </w:rPr>
        <w:t>技术创新平台认定奖励。对新认定的国家级、市级科技企业孵化器、公共技术服务平台、生产力促进中心、高新技术创业服务中心、留学人员科技创业园、大学生创业基地、返乡农民工创业基地、创业孵化基地、科技园区、软件园等分别一次性给予</w:t>
      </w:r>
      <w:r w:rsidRPr="00D9187E">
        <w:rPr>
          <w:rFonts w:ascii="Times New Roman" w:eastAsia="宋体" w:hAnsi="Times New Roman" w:cs="Times New Roman"/>
          <w:b/>
          <w:bCs/>
          <w:color w:val="000000"/>
          <w:kern w:val="0"/>
          <w:sz w:val="24"/>
          <w:szCs w:val="24"/>
        </w:rPr>
        <w:t>50</w:t>
      </w:r>
      <w:r w:rsidRPr="00D9187E">
        <w:rPr>
          <w:rFonts w:ascii="宋体" w:eastAsia="宋体" w:hAnsi="宋体" w:cs="宋体" w:hint="eastAsia"/>
          <w:b/>
          <w:bCs/>
          <w:color w:val="000000"/>
          <w:kern w:val="0"/>
          <w:sz w:val="24"/>
          <w:szCs w:val="24"/>
        </w:rPr>
        <w:t>万元、</w:t>
      </w:r>
      <w:r w:rsidRPr="00D9187E">
        <w:rPr>
          <w:rFonts w:ascii="Times New Roman" w:eastAsia="宋体" w:hAnsi="Times New Roman" w:cs="Times New Roman"/>
          <w:b/>
          <w:bCs/>
          <w:color w:val="000000"/>
          <w:kern w:val="0"/>
          <w:sz w:val="24"/>
          <w:szCs w:val="24"/>
        </w:rPr>
        <w:t>20</w:t>
      </w:r>
      <w:r w:rsidRPr="00D9187E">
        <w:rPr>
          <w:rFonts w:ascii="宋体" w:eastAsia="宋体" w:hAnsi="宋体" w:cs="宋体" w:hint="eastAsia"/>
          <w:b/>
          <w:bCs/>
          <w:color w:val="000000"/>
          <w:kern w:val="0"/>
          <w:sz w:val="24"/>
          <w:szCs w:val="24"/>
        </w:rPr>
        <w:t>万元奖励。对新认定的市级专家大院一次性给予</w:t>
      </w:r>
      <w:r w:rsidRPr="00D9187E">
        <w:rPr>
          <w:rFonts w:ascii="Times New Roman" w:eastAsia="宋体" w:hAnsi="Times New Roman" w:cs="Times New Roman"/>
          <w:b/>
          <w:bCs/>
          <w:color w:val="000000"/>
          <w:kern w:val="0"/>
          <w:sz w:val="24"/>
          <w:szCs w:val="24"/>
        </w:rPr>
        <w:t>10</w:t>
      </w:r>
      <w:r w:rsidRPr="00D9187E">
        <w:rPr>
          <w:rFonts w:ascii="宋体" w:eastAsia="宋体" w:hAnsi="宋体" w:cs="宋体" w:hint="eastAsia"/>
          <w:b/>
          <w:bCs/>
          <w:color w:val="000000"/>
          <w:kern w:val="0"/>
          <w:sz w:val="24"/>
          <w:szCs w:val="24"/>
        </w:rPr>
        <w:t>万元资助，对新设立的企业首席技师工作室，一次性给予</w:t>
      </w:r>
      <w:r w:rsidRPr="00D9187E">
        <w:rPr>
          <w:rFonts w:ascii="Times New Roman" w:eastAsia="宋体" w:hAnsi="Times New Roman" w:cs="Times New Roman"/>
          <w:b/>
          <w:bCs/>
          <w:color w:val="000000"/>
          <w:kern w:val="0"/>
          <w:sz w:val="24"/>
          <w:szCs w:val="24"/>
        </w:rPr>
        <w:t>5</w:t>
      </w:r>
      <w:r w:rsidRPr="00D9187E">
        <w:rPr>
          <w:rFonts w:ascii="宋体" w:eastAsia="宋体" w:hAnsi="宋体" w:cs="宋体" w:hint="eastAsia"/>
          <w:b/>
          <w:bCs/>
          <w:color w:val="000000"/>
          <w:kern w:val="0"/>
          <w:sz w:val="24"/>
          <w:szCs w:val="24"/>
        </w:rPr>
        <w:t>万元资助。</w:t>
      </w:r>
    </w:p>
    <w:p w:rsidR="00D9187E" w:rsidRPr="00D9187E" w:rsidRDefault="00D9187E" w:rsidP="00D9187E">
      <w:pPr>
        <w:widowControl/>
        <w:shd w:val="clear" w:color="auto" w:fill="FFFFFF"/>
        <w:spacing w:before="100" w:beforeAutospacing="1" w:after="100" w:afterAutospacing="1"/>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     第十二条</w:t>
      </w:r>
      <w:r w:rsidRPr="00D9187E">
        <w:rPr>
          <w:rFonts w:ascii="Times New Roman" w:eastAsia="宋体" w:hAnsi="Times New Roman" w:cs="Times New Roman"/>
          <w:b/>
          <w:bCs/>
          <w:color w:val="000000"/>
          <w:kern w:val="0"/>
          <w:sz w:val="24"/>
          <w:szCs w:val="24"/>
        </w:rPr>
        <w:t> </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重点科研项目资金配套。对区内科技企业获得市级以上科技主管部门立项资助的各类科技项目采用后补助的方式予以配套。对国家级科技项目，给予</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的资金配套，最高</w:t>
      </w:r>
      <w:r w:rsidRPr="00D9187E">
        <w:rPr>
          <w:rFonts w:ascii="Times New Roman" w:eastAsia="宋体" w:hAnsi="Times New Roman" w:cs="Times New Roman"/>
          <w:color w:val="000000"/>
          <w:kern w:val="0"/>
          <w:sz w:val="24"/>
          <w:szCs w:val="24"/>
        </w:rPr>
        <w:t>100</w:t>
      </w:r>
      <w:r w:rsidRPr="00D9187E">
        <w:rPr>
          <w:rFonts w:ascii="宋体" w:eastAsia="宋体" w:hAnsi="宋体" w:cs="宋体" w:hint="eastAsia"/>
          <w:color w:val="000000"/>
          <w:kern w:val="0"/>
          <w:sz w:val="24"/>
          <w:szCs w:val="24"/>
        </w:rPr>
        <w:t>万元；对市级科技项目，给予</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的资金配套，最高</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万元。单个项目获得上级和本区财政资助总额不超过项目承担单位自筹资金总额，超过部分不予配套。</w:t>
      </w:r>
    </w:p>
    <w:p w:rsidR="00D9187E" w:rsidRPr="00D9187E" w:rsidRDefault="00D9187E" w:rsidP="00D9187E">
      <w:pPr>
        <w:widowControl/>
        <w:shd w:val="clear" w:color="auto" w:fill="FFFFFF"/>
        <w:spacing w:before="100" w:beforeAutospacing="1" w:after="100" w:afterAutospacing="1" w:line="600" w:lineRule="atLeast"/>
        <w:ind w:firstLine="632"/>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第十三条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众创空间认定奖励。对新认定的国家级、市级、区级众创空间分别一次性给予</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5</w:t>
      </w:r>
      <w:r w:rsidRPr="00D9187E">
        <w:rPr>
          <w:rFonts w:ascii="宋体" w:eastAsia="宋体" w:hAnsi="宋体" w:cs="宋体" w:hint="eastAsia"/>
          <w:color w:val="000000"/>
          <w:kern w:val="0"/>
          <w:sz w:val="24"/>
          <w:szCs w:val="24"/>
        </w:rPr>
        <w:t>万元奖励。对全国知名众创空间到潼南落地发展或建成后众创空间具有特别示范带动作用的，采取一事一议的原则扶持奖励。</w:t>
      </w:r>
    </w:p>
    <w:p w:rsidR="00D9187E" w:rsidRPr="00D9187E" w:rsidRDefault="00D9187E" w:rsidP="00D9187E">
      <w:pPr>
        <w:widowControl/>
        <w:shd w:val="clear" w:color="auto" w:fill="FFFFFF"/>
        <w:spacing w:before="100" w:beforeAutospacing="1" w:after="100" w:afterAutospacing="1" w:line="600" w:lineRule="atLeast"/>
        <w:ind w:firstLine="632"/>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第十四条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众创空间运营补贴。经认定的众创空间，在完成年度运行工作目标后，对场地租金和水电气进行补贴，单个项目的补助额控制在实际发生额的</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以内，最高不超过</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万元。对建设公共技术平台购置的仪器设备、大型开发测试软件所产生的投入，按照实际投入费用的</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以内予以支持，最高不超过</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万元。对运行产生的其他费用，按照实际投入费用的</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以内予以支持，最高不超过</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第十五条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支持企业产业信息化建设。推进企业工业化和信息化深度融合，按照企业当年建设</w:t>
      </w:r>
      <w:r w:rsidRPr="00D9187E">
        <w:rPr>
          <w:rFonts w:ascii="Times New Roman" w:eastAsia="宋体" w:hAnsi="Times New Roman" w:cs="Times New Roman"/>
          <w:color w:val="000000"/>
          <w:kern w:val="0"/>
          <w:sz w:val="24"/>
          <w:szCs w:val="24"/>
        </w:rPr>
        <w:t>OA</w:t>
      </w:r>
      <w:r w:rsidRPr="00D9187E">
        <w:rPr>
          <w:rFonts w:ascii="宋体" w:eastAsia="宋体" w:hAnsi="宋体" w:cs="宋体" w:hint="eastAsia"/>
          <w:color w:val="000000"/>
          <w:kern w:val="0"/>
          <w:sz w:val="24"/>
          <w:szCs w:val="24"/>
        </w:rPr>
        <w:t>、</w:t>
      </w:r>
      <w:r w:rsidRPr="00D9187E">
        <w:rPr>
          <w:rFonts w:ascii="Times New Roman" w:eastAsia="宋体" w:hAnsi="Times New Roman" w:cs="Times New Roman"/>
          <w:color w:val="000000"/>
          <w:kern w:val="0"/>
          <w:sz w:val="24"/>
          <w:szCs w:val="24"/>
        </w:rPr>
        <w:t>ERP</w:t>
      </w:r>
      <w:r w:rsidRPr="00D9187E">
        <w:rPr>
          <w:rFonts w:ascii="宋体" w:eastAsia="宋体" w:hAnsi="宋体" w:cs="宋体" w:hint="eastAsia"/>
          <w:color w:val="000000"/>
          <w:kern w:val="0"/>
          <w:sz w:val="24"/>
          <w:szCs w:val="24"/>
        </w:rPr>
        <w:t>等信息化系统投资额的</w:t>
      </w:r>
      <w:r w:rsidRPr="00D9187E">
        <w:rPr>
          <w:rFonts w:ascii="Times New Roman" w:eastAsia="宋体" w:hAnsi="Times New Roman" w:cs="Times New Roman"/>
          <w:color w:val="000000"/>
          <w:kern w:val="0"/>
          <w:sz w:val="24"/>
          <w:szCs w:val="24"/>
        </w:rPr>
        <w:t>15%</w:t>
      </w:r>
      <w:r w:rsidRPr="00D9187E">
        <w:rPr>
          <w:rFonts w:ascii="宋体" w:eastAsia="宋体" w:hAnsi="宋体" w:cs="宋体" w:hint="eastAsia"/>
          <w:color w:val="000000"/>
          <w:kern w:val="0"/>
          <w:sz w:val="24"/>
          <w:szCs w:val="24"/>
        </w:rPr>
        <w:t>予以补贴，最高不超过</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万元；对新认定国家、重庆市两化融合管理体系贯标试点企业，分别给予</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万元一次性奖励；新纳入国家信息化示范企业，给予一次性</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万元奖励。</w:t>
      </w:r>
    </w:p>
    <w:p w:rsidR="00D9187E" w:rsidRPr="00D9187E" w:rsidRDefault="00D9187E" w:rsidP="00D9187E">
      <w:pPr>
        <w:widowControl/>
        <w:shd w:val="clear" w:color="auto" w:fill="FFFFFF"/>
        <w:spacing w:before="100" w:beforeAutospacing="1" w:after="100" w:afterAutospacing="1" w:line="600" w:lineRule="atLeast"/>
        <w:ind w:firstLine="632"/>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24"/>
          <w:szCs w:val="24"/>
        </w:rPr>
        <w:t>第五章</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建立科技金融支撑体系</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Times New Roman" w:hint="eastAsia"/>
          <w:b/>
          <w:bCs/>
          <w:color w:val="000000"/>
          <w:kern w:val="0"/>
          <w:sz w:val="24"/>
          <w:szCs w:val="24"/>
        </w:rPr>
        <w:t>第十六条</w:t>
      </w:r>
      <w:r w:rsidRPr="00D9187E">
        <w:rPr>
          <w:rFonts w:ascii="Times New Roman" w:eastAsia="宋体" w:hAnsi="Times New Roman" w:cs="Times New Roman"/>
          <w:b/>
          <w:bCs/>
          <w:color w:val="000000"/>
          <w:kern w:val="0"/>
          <w:sz w:val="24"/>
          <w:szCs w:val="24"/>
        </w:rPr>
        <w:t>  </w:t>
      </w:r>
      <w:r w:rsidRPr="00D9187E">
        <w:rPr>
          <w:rFonts w:ascii="宋体" w:eastAsia="宋体" w:hAnsi="宋体" w:cs="Times New Roman" w:hint="eastAsia"/>
          <w:b/>
          <w:bCs/>
          <w:color w:val="000000"/>
          <w:kern w:val="0"/>
          <w:sz w:val="24"/>
          <w:szCs w:val="24"/>
        </w:rPr>
        <w:t>壮大种子基金规模。</w:t>
      </w:r>
      <w:r w:rsidRPr="00D9187E">
        <w:rPr>
          <w:rFonts w:ascii="Times New Roman" w:eastAsia="宋体" w:hAnsi="Times New Roman" w:cs="Times New Roman"/>
          <w:b/>
          <w:bCs/>
          <w:color w:val="000000"/>
          <w:kern w:val="0"/>
          <w:sz w:val="24"/>
          <w:szCs w:val="24"/>
        </w:rPr>
        <w:t>2017</w:t>
      </w:r>
      <w:r w:rsidRPr="00D9187E">
        <w:rPr>
          <w:rFonts w:ascii="宋体" w:eastAsia="宋体" w:hAnsi="宋体" w:cs="Times New Roman" w:hint="eastAsia"/>
          <w:b/>
          <w:bCs/>
          <w:color w:val="000000"/>
          <w:kern w:val="0"/>
          <w:sz w:val="24"/>
          <w:szCs w:val="24"/>
        </w:rPr>
        <w:t>年扩大至</w:t>
      </w:r>
      <w:r w:rsidRPr="00D9187E">
        <w:rPr>
          <w:rFonts w:ascii="Times New Roman" w:eastAsia="宋体" w:hAnsi="Times New Roman" w:cs="Times New Roman"/>
          <w:b/>
          <w:bCs/>
          <w:color w:val="000000"/>
          <w:kern w:val="0"/>
          <w:sz w:val="24"/>
          <w:szCs w:val="24"/>
        </w:rPr>
        <w:t>1500</w:t>
      </w:r>
      <w:r w:rsidRPr="00D9187E">
        <w:rPr>
          <w:rFonts w:ascii="宋体" w:eastAsia="宋体" w:hAnsi="宋体" w:cs="Times New Roman" w:hint="eastAsia"/>
          <w:b/>
          <w:bCs/>
          <w:color w:val="000000"/>
          <w:kern w:val="0"/>
          <w:sz w:val="24"/>
          <w:szCs w:val="24"/>
        </w:rPr>
        <w:t>万元，</w:t>
      </w:r>
      <w:r w:rsidRPr="00D9187E">
        <w:rPr>
          <w:rFonts w:ascii="Times New Roman" w:eastAsia="宋体" w:hAnsi="Times New Roman" w:cs="Times New Roman"/>
          <w:b/>
          <w:bCs/>
          <w:color w:val="000000"/>
          <w:kern w:val="0"/>
          <w:sz w:val="24"/>
          <w:szCs w:val="24"/>
        </w:rPr>
        <w:t>2018</w:t>
      </w:r>
      <w:r w:rsidRPr="00D9187E">
        <w:rPr>
          <w:rFonts w:ascii="宋体" w:eastAsia="宋体" w:hAnsi="宋体" w:cs="Times New Roman" w:hint="eastAsia"/>
          <w:b/>
          <w:bCs/>
          <w:color w:val="000000"/>
          <w:kern w:val="0"/>
          <w:sz w:val="24"/>
          <w:szCs w:val="24"/>
        </w:rPr>
        <w:t>年扩大至</w:t>
      </w:r>
      <w:r w:rsidRPr="00D9187E">
        <w:rPr>
          <w:rFonts w:ascii="Times New Roman" w:eastAsia="宋体" w:hAnsi="Times New Roman" w:cs="Times New Roman"/>
          <w:b/>
          <w:bCs/>
          <w:color w:val="000000"/>
          <w:kern w:val="0"/>
          <w:sz w:val="24"/>
          <w:szCs w:val="24"/>
        </w:rPr>
        <w:t>2000</w:t>
      </w:r>
      <w:r w:rsidRPr="00D9187E">
        <w:rPr>
          <w:rFonts w:ascii="宋体" w:eastAsia="宋体" w:hAnsi="宋体" w:cs="Times New Roman" w:hint="eastAsia"/>
          <w:b/>
          <w:bCs/>
          <w:color w:val="000000"/>
          <w:kern w:val="0"/>
          <w:sz w:val="24"/>
          <w:szCs w:val="24"/>
        </w:rPr>
        <w:t>万元，</w:t>
      </w:r>
      <w:r w:rsidRPr="00D9187E">
        <w:rPr>
          <w:rFonts w:ascii="Times New Roman" w:eastAsia="宋体" w:hAnsi="Times New Roman" w:cs="Times New Roman"/>
          <w:b/>
          <w:bCs/>
          <w:color w:val="000000"/>
          <w:kern w:val="0"/>
          <w:sz w:val="24"/>
          <w:szCs w:val="24"/>
        </w:rPr>
        <w:t>2019</w:t>
      </w:r>
      <w:r w:rsidRPr="00D9187E">
        <w:rPr>
          <w:rFonts w:ascii="宋体" w:eastAsia="宋体" w:hAnsi="宋体" w:cs="Times New Roman" w:hint="eastAsia"/>
          <w:b/>
          <w:bCs/>
          <w:color w:val="000000"/>
          <w:kern w:val="0"/>
          <w:sz w:val="24"/>
          <w:szCs w:val="24"/>
        </w:rPr>
        <w:t>年扩大至</w:t>
      </w:r>
      <w:r w:rsidRPr="00D9187E">
        <w:rPr>
          <w:rFonts w:ascii="Times New Roman" w:eastAsia="宋体" w:hAnsi="Times New Roman" w:cs="Times New Roman"/>
          <w:b/>
          <w:bCs/>
          <w:color w:val="000000"/>
          <w:kern w:val="0"/>
          <w:sz w:val="24"/>
          <w:szCs w:val="24"/>
        </w:rPr>
        <w:t>3000</w:t>
      </w:r>
      <w:r w:rsidRPr="00D9187E">
        <w:rPr>
          <w:rFonts w:ascii="宋体" w:eastAsia="宋体" w:hAnsi="宋体" w:cs="Times New Roman" w:hint="eastAsia"/>
          <w:b/>
          <w:bCs/>
          <w:color w:val="000000"/>
          <w:kern w:val="0"/>
          <w:sz w:val="24"/>
          <w:szCs w:val="24"/>
        </w:rPr>
        <w:t>万元，</w:t>
      </w:r>
      <w:r w:rsidRPr="00D9187E">
        <w:rPr>
          <w:rFonts w:ascii="Times New Roman" w:eastAsia="宋体" w:hAnsi="Times New Roman" w:cs="Times New Roman"/>
          <w:b/>
          <w:bCs/>
          <w:color w:val="000000"/>
          <w:kern w:val="0"/>
          <w:sz w:val="24"/>
          <w:szCs w:val="24"/>
        </w:rPr>
        <w:t>2020</w:t>
      </w:r>
      <w:r w:rsidRPr="00D9187E">
        <w:rPr>
          <w:rFonts w:ascii="宋体" w:eastAsia="宋体" w:hAnsi="宋体" w:cs="Times New Roman" w:hint="eastAsia"/>
          <w:b/>
          <w:bCs/>
          <w:color w:val="000000"/>
          <w:kern w:val="0"/>
          <w:sz w:val="24"/>
          <w:szCs w:val="24"/>
        </w:rPr>
        <w:t>年扩大至</w:t>
      </w:r>
      <w:r w:rsidRPr="00D9187E">
        <w:rPr>
          <w:rFonts w:ascii="Times New Roman" w:eastAsia="宋体" w:hAnsi="Times New Roman" w:cs="Times New Roman"/>
          <w:b/>
          <w:bCs/>
          <w:color w:val="000000"/>
          <w:kern w:val="0"/>
          <w:sz w:val="24"/>
          <w:szCs w:val="24"/>
        </w:rPr>
        <w:t>5000</w:t>
      </w:r>
      <w:r w:rsidRPr="00D9187E">
        <w:rPr>
          <w:rFonts w:ascii="宋体" w:eastAsia="宋体" w:hAnsi="宋体" w:cs="Times New Roman" w:hint="eastAsia"/>
          <w:b/>
          <w:bCs/>
          <w:color w:val="000000"/>
          <w:kern w:val="0"/>
          <w:sz w:val="24"/>
          <w:szCs w:val="24"/>
        </w:rPr>
        <w:t>万元。</w:t>
      </w:r>
    </w:p>
    <w:p w:rsidR="00D9187E" w:rsidRPr="00D9187E" w:rsidRDefault="00D9187E" w:rsidP="00D9187E">
      <w:pPr>
        <w:widowControl/>
        <w:shd w:val="clear" w:color="auto" w:fill="FFFFFF"/>
        <w:spacing w:before="100" w:beforeAutospacing="1" w:after="100" w:afterAutospacing="1" w:line="600" w:lineRule="atLeast"/>
        <w:ind w:firstLine="627"/>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第十七条</w:t>
      </w:r>
      <w:r w:rsidRPr="00D9187E">
        <w:rPr>
          <w:rFonts w:ascii="Times New Roman" w:eastAsia="宋体" w:hAnsi="Times New Roman" w:cs="Times New Roman"/>
          <w:b/>
          <w:bCs/>
          <w:color w:val="000000"/>
          <w:kern w:val="0"/>
          <w:sz w:val="24"/>
          <w:szCs w:val="24"/>
        </w:rPr>
        <w:t>   </w:t>
      </w:r>
      <w:r w:rsidRPr="00D9187E">
        <w:rPr>
          <w:rFonts w:ascii="宋体" w:eastAsia="宋体" w:hAnsi="宋体" w:cs="宋体" w:hint="eastAsia"/>
          <w:color w:val="000000"/>
          <w:kern w:val="0"/>
          <w:sz w:val="24"/>
          <w:szCs w:val="24"/>
        </w:rPr>
        <w:t>对当年度在新三板成功挂牌的科技创新企业，补助</w:t>
      </w:r>
      <w:r w:rsidRPr="00D9187E">
        <w:rPr>
          <w:rFonts w:ascii="Times New Roman" w:eastAsia="宋体" w:hAnsi="Times New Roman" w:cs="Times New Roman"/>
          <w:color w:val="000000"/>
          <w:kern w:val="0"/>
          <w:sz w:val="24"/>
          <w:szCs w:val="24"/>
        </w:rPr>
        <w:t>100</w:t>
      </w:r>
      <w:r w:rsidRPr="00D9187E">
        <w:rPr>
          <w:rFonts w:ascii="宋体" w:eastAsia="宋体" w:hAnsi="宋体" w:cs="宋体" w:hint="eastAsia"/>
          <w:color w:val="000000"/>
          <w:kern w:val="0"/>
          <w:sz w:val="24"/>
          <w:szCs w:val="24"/>
        </w:rPr>
        <w:t>万元；对当年度在重庆</w:t>
      </w:r>
      <w:r w:rsidRPr="00D9187E">
        <w:rPr>
          <w:rFonts w:ascii="Times New Roman" w:eastAsia="宋体" w:hAnsi="Times New Roman" w:cs="Times New Roman"/>
          <w:color w:val="000000"/>
          <w:kern w:val="0"/>
          <w:sz w:val="24"/>
          <w:szCs w:val="24"/>
        </w:rPr>
        <w:t>OTC</w:t>
      </w:r>
      <w:r w:rsidRPr="00D9187E">
        <w:rPr>
          <w:rFonts w:ascii="宋体" w:eastAsia="宋体" w:hAnsi="宋体" w:cs="宋体" w:hint="eastAsia"/>
          <w:color w:val="000000"/>
          <w:kern w:val="0"/>
          <w:sz w:val="24"/>
          <w:szCs w:val="24"/>
        </w:rPr>
        <w:t>成功挂牌的科技创新企业，按市级奖励标准</w:t>
      </w:r>
      <w:r w:rsidRPr="00D9187E">
        <w:rPr>
          <w:rFonts w:ascii="Times New Roman" w:eastAsia="宋体" w:hAnsi="Times New Roman" w:cs="Times New Roman"/>
          <w:color w:val="000000"/>
          <w:kern w:val="0"/>
          <w:sz w:val="24"/>
          <w:szCs w:val="24"/>
        </w:rPr>
        <w:t>1:1</w:t>
      </w:r>
      <w:r w:rsidRPr="00D9187E">
        <w:rPr>
          <w:rFonts w:ascii="宋体" w:eastAsia="宋体" w:hAnsi="宋体" w:cs="宋体" w:hint="eastAsia"/>
          <w:color w:val="000000"/>
          <w:kern w:val="0"/>
          <w:sz w:val="24"/>
          <w:szCs w:val="24"/>
        </w:rPr>
        <w:t>配套奖励。</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24"/>
          <w:szCs w:val="24"/>
        </w:rPr>
        <w:t>第六章</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实施品牌、行业标准、知识产权战略</w:t>
      </w:r>
    </w:p>
    <w:p w:rsidR="00D9187E" w:rsidRPr="00D9187E" w:rsidRDefault="00D9187E" w:rsidP="00D9187E">
      <w:pPr>
        <w:widowControl/>
        <w:shd w:val="clear" w:color="auto" w:fill="FFFFFF"/>
        <w:spacing w:before="100" w:beforeAutospacing="1" w:after="100" w:afterAutospacing="1" w:line="600" w:lineRule="atLeast"/>
        <w:ind w:firstLine="632"/>
        <w:jc w:val="left"/>
        <w:rPr>
          <w:rFonts w:ascii="宋体" w:eastAsia="宋体" w:hAnsi="宋体" w:cs="宋体" w:hint="eastAsia"/>
          <w:color w:val="000000"/>
          <w:kern w:val="0"/>
          <w:szCs w:val="21"/>
        </w:rPr>
      </w:pPr>
      <w:r w:rsidRPr="00D9187E">
        <w:rPr>
          <w:rFonts w:ascii="宋体" w:eastAsia="宋体" w:hAnsi="宋体" w:cs="Times New Roman" w:hint="eastAsia"/>
          <w:b/>
          <w:bCs/>
          <w:color w:val="000000"/>
          <w:kern w:val="0"/>
          <w:sz w:val="24"/>
          <w:szCs w:val="24"/>
        </w:rPr>
        <w:t>第十八条</w:t>
      </w:r>
      <w:r w:rsidRPr="00D9187E">
        <w:rPr>
          <w:rFonts w:ascii="Times New Roman" w:eastAsia="宋体" w:hAnsi="Times New Roman" w:cs="Times New Roman"/>
          <w:b/>
          <w:bCs/>
          <w:color w:val="000000"/>
          <w:kern w:val="0"/>
          <w:sz w:val="24"/>
          <w:szCs w:val="24"/>
        </w:rPr>
        <w:t> </w:t>
      </w:r>
      <w:r w:rsidRPr="00D9187E">
        <w:rPr>
          <w:rFonts w:ascii="宋体" w:eastAsia="宋体" w:hAnsi="宋体" w:cs="Times New Roman" w:hint="eastAsia"/>
          <w:b/>
          <w:bCs/>
          <w:color w:val="000000"/>
          <w:kern w:val="0"/>
          <w:sz w:val="24"/>
          <w:szCs w:val="24"/>
        </w:rPr>
        <w:t>质量奖奖励。对获得中国质量奖的企业一次性给予</w:t>
      </w:r>
      <w:r w:rsidRPr="00D9187E">
        <w:rPr>
          <w:rFonts w:ascii="Times New Roman" w:eastAsia="宋体" w:hAnsi="Times New Roman" w:cs="Times New Roman"/>
          <w:b/>
          <w:bCs/>
          <w:color w:val="000000"/>
          <w:kern w:val="0"/>
          <w:sz w:val="24"/>
          <w:szCs w:val="24"/>
        </w:rPr>
        <w:t>200</w:t>
      </w:r>
      <w:r w:rsidRPr="00D9187E">
        <w:rPr>
          <w:rFonts w:ascii="宋体" w:eastAsia="宋体" w:hAnsi="宋体" w:cs="Times New Roman" w:hint="eastAsia"/>
          <w:b/>
          <w:bCs/>
          <w:color w:val="000000"/>
          <w:kern w:val="0"/>
          <w:sz w:val="24"/>
          <w:szCs w:val="24"/>
        </w:rPr>
        <w:t>万元奖励；对获得中国质量奖提名奖的企业一次性给予</w:t>
      </w:r>
      <w:r w:rsidRPr="00D9187E">
        <w:rPr>
          <w:rFonts w:ascii="Times New Roman" w:eastAsia="宋体" w:hAnsi="Times New Roman" w:cs="Times New Roman"/>
          <w:b/>
          <w:bCs/>
          <w:color w:val="000000"/>
          <w:kern w:val="0"/>
          <w:sz w:val="24"/>
          <w:szCs w:val="24"/>
        </w:rPr>
        <w:t>100</w:t>
      </w:r>
      <w:r w:rsidRPr="00D9187E">
        <w:rPr>
          <w:rFonts w:ascii="宋体" w:eastAsia="宋体" w:hAnsi="宋体" w:cs="Times New Roman" w:hint="eastAsia"/>
          <w:b/>
          <w:bCs/>
          <w:color w:val="000000"/>
          <w:kern w:val="0"/>
          <w:sz w:val="24"/>
          <w:szCs w:val="24"/>
        </w:rPr>
        <w:t>万元奖励；对获得市长质量奖的企业一次性给予</w:t>
      </w:r>
      <w:r w:rsidRPr="00D9187E">
        <w:rPr>
          <w:rFonts w:ascii="Times New Roman" w:eastAsia="宋体" w:hAnsi="Times New Roman" w:cs="Times New Roman"/>
          <w:b/>
          <w:bCs/>
          <w:color w:val="000000"/>
          <w:kern w:val="0"/>
          <w:sz w:val="24"/>
          <w:szCs w:val="24"/>
        </w:rPr>
        <w:t>50</w:t>
      </w:r>
      <w:r w:rsidRPr="00D9187E">
        <w:rPr>
          <w:rFonts w:ascii="宋体" w:eastAsia="宋体" w:hAnsi="宋体" w:cs="Times New Roman" w:hint="eastAsia"/>
          <w:b/>
          <w:bCs/>
          <w:color w:val="000000"/>
          <w:kern w:val="0"/>
          <w:sz w:val="24"/>
          <w:szCs w:val="24"/>
        </w:rPr>
        <w:t>万元奖励；对获得市长质量奖提名奖的企业一次性给予</w:t>
      </w:r>
      <w:r w:rsidRPr="00D9187E">
        <w:rPr>
          <w:rFonts w:ascii="Times New Roman" w:eastAsia="宋体" w:hAnsi="Times New Roman" w:cs="Times New Roman"/>
          <w:b/>
          <w:bCs/>
          <w:color w:val="000000"/>
          <w:kern w:val="0"/>
          <w:sz w:val="24"/>
          <w:szCs w:val="24"/>
        </w:rPr>
        <w:t>20</w:t>
      </w:r>
      <w:r w:rsidRPr="00D9187E">
        <w:rPr>
          <w:rFonts w:ascii="宋体" w:eastAsia="宋体" w:hAnsi="宋体" w:cs="Times New Roman" w:hint="eastAsia"/>
          <w:b/>
          <w:bCs/>
          <w:color w:val="000000"/>
          <w:kern w:val="0"/>
          <w:sz w:val="24"/>
          <w:szCs w:val="24"/>
        </w:rPr>
        <w:t>万元奖励；对获得中国名牌产品、重庆市名牌产品的企业分别一次性给予</w:t>
      </w:r>
      <w:r w:rsidRPr="00D9187E">
        <w:rPr>
          <w:rFonts w:ascii="Times New Roman" w:eastAsia="宋体" w:hAnsi="Times New Roman" w:cs="Times New Roman"/>
          <w:b/>
          <w:bCs/>
          <w:color w:val="000000"/>
          <w:kern w:val="0"/>
          <w:sz w:val="24"/>
          <w:szCs w:val="24"/>
        </w:rPr>
        <w:t>20</w:t>
      </w:r>
      <w:r w:rsidRPr="00D9187E">
        <w:rPr>
          <w:rFonts w:ascii="宋体" w:eastAsia="宋体" w:hAnsi="宋体" w:cs="Times New Roman" w:hint="eastAsia"/>
          <w:b/>
          <w:bCs/>
          <w:color w:val="000000"/>
          <w:kern w:val="0"/>
          <w:sz w:val="24"/>
          <w:szCs w:val="24"/>
        </w:rPr>
        <w:t>万元、</w:t>
      </w:r>
      <w:r w:rsidRPr="00D9187E">
        <w:rPr>
          <w:rFonts w:ascii="Times New Roman" w:eastAsia="宋体" w:hAnsi="Times New Roman" w:cs="Times New Roman"/>
          <w:b/>
          <w:bCs/>
          <w:color w:val="000000"/>
          <w:kern w:val="0"/>
          <w:sz w:val="24"/>
          <w:szCs w:val="24"/>
        </w:rPr>
        <w:t>10</w:t>
      </w:r>
      <w:r w:rsidRPr="00D9187E">
        <w:rPr>
          <w:rFonts w:ascii="宋体" w:eastAsia="宋体" w:hAnsi="宋体" w:cs="Times New Roman" w:hint="eastAsia"/>
          <w:b/>
          <w:bCs/>
          <w:color w:val="000000"/>
          <w:kern w:val="0"/>
          <w:sz w:val="24"/>
          <w:szCs w:val="24"/>
        </w:rPr>
        <w:t>万元奖励；对获得重庆市知名产品的企业一次性给予</w:t>
      </w:r>
      <w:r w:rsidRPr="00D9187E">
        <w:rPr>
          <w:rFonts w:ascii="Times New Roman" w:eastAsia="宋体" w:hAnsi="Times New Roman" w:cs="Times New Roman"/>
          <w:b/>
          <w:bCs/>
          <w:color w:val="000000"/>
          <w:kern w:val="0"/>
          <w:sz w:val="24"/>
          <w:szCs w:val="24"/>
        </w:rPr>
        <w:t>8</w:t>
      </w:r>
      <w:r w:rsidRPr="00D9187E">
        <w:rPr>
          <w:rFonts w:ascii="宋体" w:eastAsia="宋体" w:hAnsi="宋体" w:cs="Times New Roman" w:hint="eastAsia"/>
          <w:b/>
          <w:bCs/>
          <w:color w:val="000000"/>
          <w:kern w:val="0"/>
          <w:sz w:val="24"/>
          <w:szCs w:val="24"/>
        </w:rPr>
        <w:t>万元奖励。</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第十九条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制定标准奖励。对牵头制定并获批国际、国家、行业、地方标准的企业，分别一次性给予</w:t>
      </w:r>
      <w:r w:rsidRPr="00D9187E">
        <w:rPr>
          <w:rFonts w:ascii="Times New Roman" w:eastAsia="宋体" w:hAnsi="Times New Roman" w:cs="Times New Roman"/>
          <w:color w:val="000000"/>
          <w:kern w:val="0"/>
          <w:sz w:val="24"/>
          <w:szCs w:val="24"/>
        </w:rPr>
        <w:t>100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20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万元奖励；对获国家、市级标准化示范获试点项目称号的承担单位、参加单位分别以奖代补一次性给予</w:t>
      </w:r>
      <w:r w:rsidRPr="00D9187E">
        <w:rPr>
          <w:rFonts w:ascii="Times New Roman" w:eastAsia="宋体" w:hAnsi="Times New Roman" w:cs="Times New Roman"/>
          <w:color w:val="000000"/>
          <w:kern w:val="0"/>
          <w:sz w:val="24"/>
          <w:szCs w:val="24"/>
        </w:rPr>
        <w:t>15</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8</w:t>
      </w:r>
      <w:r w:rsidRPr="00D9187E">
        <w:rPr>
          <w:rFonts w:ascii="宋体" w:eastAsia="宋体" w:hAnsi="宋体" w:cs="宋体" w:hint="eastAsia"/>
          <w:color w:val="000000"/>
          <w:kern w:val="0"/>
          <w:sz w:val="24"/>
          <w:szCs w:val="24"/>
        </w:rPr>
        <w:t>万元奖励（含三年工作经费）；对获得中国标准创新贡献奖一等奖、二等奖、三等奖的项目所在企业，分别一次性给予</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8</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6</w:t>
      </w:r>
      <w:r w:rsidRPr="00D9187E">
        <w:rPr>
          <w:rFonts w:ascii="宋体" w:eastAsia="宋体" w:hAnsi="宋体" w:cs="宋体" w:hint="eastAsia"/>
          <w:color w:val="000000"/>
          <w:kern w:val="0"/>
          <w:sz w:val="24"/>
          <w:szCs w:val="24"/>
        </w:rPr>
        <w:t>万元奖励；对获得重庆市产品标准奖一等奖、二等奖、三等奖的项目所在企业，分别一次性给予</w:t>
      </w:r>
      <w:r w:rsidRPr="00D9187E">
        <w:rPr>
          <w:rFonts w:ascii="Times New Roman" w:eastAsia="宋体" w:hAnsi="Times New Roman" w:cs="Times New Roman"/>
          <w:color w:val="000000"/>
          <w:kern w:val="0"/>
          <w:sz w:val="24"/>
          <w:szCs w:val="24"/>
        </w:rPr>
        <w:t>5</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3</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2</w:t>
      </w:r>
      <w:r w:rsidRPr="00D9187E">
        <w:rPr>
          <w:rFonts w:ascii="宋体" w:eastAsia="宋体" w:hAnsi="宋体" w:cs="宋体" w:hint="eastAsia"/>
          <w:color w:val="000000"/>
          <w:kern w:val="0"/>
          <w:sz w:val="24"/>
          <w:szCs w:val="24"/>
        </w:rPr>
        <w:t>万元奖励。</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第二十条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知识产权奖励。对新认定的国家级、市级知识产权示范企业分别奖励</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3</w:t>
      </w:r>
      <w:r w:rsidRPr="00D9187E">
        <w:rPr>
          <w:rFonts w:ascii="宋体" w:eastAsia="宋体" w:hAnsi="宋体" w:cs="宋体" w:hint="eastAsia"/>
          <w:color w:val="000000"/>
          <w:kern w:val="0"/>
          <w:sz w:val="24"/>
          <w:szCs w:val="24"/>
        </w:rPr>
        <w:t>万元。对获得中国专利金奖、中国专利优秀奖、中国外观设计金奖和中国外观设计优秀奖的分别一次性给予</w:t>
      </w:r>
      <w:r w:rsidRPr="00D9187E">
        <w:rPr>
          <w:rFonts w:ascii="Times New Roman" w:eastAsia="宋体" w:hAnsi="Times New Roman" w:cs="Times New Roman"/>
          <w:color w:val="000000"/>
          <w:kern w:val="0"/>
          <w:sz w:val="24"/>
          <w:szCs w:val="24"/>
        </w:rPr>
        <w:t>30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万元和</w:t>
      </w:r>
      <w:r w:rsidRPr="00D9187E">
        <w:rPr>
          <w:rFonts w:ascii="Times New Roman" w:eastAsia="宋体" w:hAnsi="Times New Roman" w:cs="Times New Roman"/>
          <w:color w:val="000000"/>
          <w:kern w:val="0"/>
          <w:sz w:val="24"/>
          <w:szCs w:val="24"/>
        </w:rPr>
        <w:t>5</w:t>
      </w:r>
      <w:r w:rsidRPr="00D9187E">
        <w:rPr>
          <w:rFonts w:ascii="宋体" w:eastAsia="宋体" w:hAnsi="宋体" w:cs="宋体" w:hint="eastAsia"/>
          <w:color w:val="000000"/>
          <w:kern w:val="0"/>
          <w:sz w:val="24"/>
          <w:szCs w:val="24"/>
        </w:rPr>
        <w:t>万元奖励。对新认定的国家重点新产品、重庆市优秀重点新产品、重庆市重点新产品、高新技术产品分别一次性给予</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5</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1</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1</w:t>
      </w:r>
      <w:r w:rsidRPr="00D9187E">
        <w:rPr>
          <w:rFonts w:ascii="宋体" w:eastAsia="宋体" w:hAnsi="宋体" w:cs="宋体" w:hint="eastAsia"/>
          <w:color w:val="000000"/>
          <w:kern w:val="0"/>
          <w:sz w:val="24"/>
          <w:szCs w:val="24"/>
        </w:rPr>
        <w:t>万元奖励。同时，连续两年按照新产品新增税收地方留成部分的</w:t>
      </w:r>
      <w:r w:rsidRPr="00D9187E">
        <w:rPr>
          <w:rFonts w:ascii="Times New Roman" w:eastAsia="宋体" w:hAnsi="Times New Roman" w:cs="Times New Roman"/>
          <w:color w:val="000000"/>
          <w:kern w:val="0"/>
          <w:sz w:val="24"/>
          <w:szCs w:val="24"/>
        </w:rPr>
        <w:t>50%</w:t>
      </w:r>
      <w:r w:rsidRPr="00D9187E">
        <w:rPr>
          <w:rFonts w:ascii="宋体" w:eastAsia="宋体" w:hAnsi="宋体" w:cs="宋体" w:hint="eastAsia"/>
          <w:color w:val="000000"/>
          <w:kern w:val="0"/>
          <w:sz w:val="24"/>
          <w:szCs w:val="24"/>
        </w:rPr>
        <w:t>给予财政补助；对具有发明专利的市级重大新产品，补助时间延长至三年。</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第二十一条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专利资助。对申请的发明专利进入实审阶段后给予</w:t>
      </w:r>
      <w:r w:rsidRPr="00D9187E">
        <w:rPr>
          <w:rFonts w:ascii="Times New Roman" w:eastAsia="宋体" w:hAnsi="Times New Roman" w:cs="Times New Roman"/>
          <w:color w:val="000000"/>
          <w:kern w:val="0"/>
          <w:sz w:val="24"/>
          <w:szCs w:val="24"/>
        </w:rPr>
        <w:t>0.15</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w:t>
      </w:r>
      <w:r w:rsidRPr="00D9187E">
        <w:rPr>
          <w:rFonts w:ascii="宋体" w:eastAsia="宋体" w:hAnsi="宋体" w:cs="宋体" w:hint="eastAsia"/>
          <w:color w:val="000000"/>
          <w:kern w:val="0"/>
          <w:sz w:val="24"/>
          <w:szCs w:val="24"/>
        </w:rPr>
        <w:t>件的一次性资助，授权后再给予</w:t>
      </w:r>
      <w:r w:rsidRPr="00D9187E">
        <w:rPr>
          <w:rFonts w:ascii="Times New Roman" w:eastAsia="宋体" w:hAnsi="Times New Roman" w:cs="Times New Roman"/>
          <w:color w:val="000000"/>
          <w:kern w:val="0"/>
          <w:sz w:val="24"/>
          <w:szCs w:val="24"/>
        </w:rPr>
        <w:t>1.85</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w:t>
      </w:r>
      <w:r w:rsidRPr="00D9187E">
        <w:rPr>
          <w:rFonts w:ascii="宋体" w:eastAsia="宋体" w:hAnsi="宋体" w:cs="宋体" w:hint="eastAsia"/>
          <w:color w:val="000000"/>
          <w:kern w:val="0"/>
          <w:sz w:val="24"/>
          <w:szCs w:val="24"/>
        </w:rPr>
        <w:t>件的一次性资助；实用新型专利授权后给予</w:t>
      </w:r>
      <w:r w:rsidRPr="00D9187E">
        <w:rPr>
          <w:rFonts w:ascii="Times New Roman" w:eastAsia="宋体" w:hAnsi="Times New Roman" w:cs="Times New Roman"/>
          <w:color w:val="000000"/>
          <w:kern w:val="0"/>
          <w:sz w:val="24"/>
          <w:szCs w:val="24"/>
        </w:rPr>
        <w:t>0.2</w:t>
      </w:r>
      <w:r w:rsidRPr="00D9187E">
        <w:rPr>
          <w:rFonts w:ascii="宋体" w:eastAsia="宋体" w:hAnsi="宋体" w:cs="宋体" w:hint="eastAsia"/>
          <w:color w:val="000000"/>
          <w:kern w:val="0"/>
          <w:sz w:val="24"/>
          <w:szCs w:val="24"/>
        </w:rPr>
        <w:t>万元</w:t>
      </w:r>
      <w:r w:rsidRPr="00D9187E">
        <w:rPr>
          <w:rFonts w:ascii="Times New Roman" w:eastAsia="宋体" w:hAnsi="Times New Roman" w:cs="Times New Roman"/>
          <w:color w:val="000000"/>
          <w:kern w:val="0"/>
          <w:sz w:val="24"/>
          <w:szCs w:val="24"/>
        </w:rPr>
        <w:t>/</w:t>
      </w:r>
      <w:r w:rsidRPr="00D9187E">
        <w:rPr>
          <w:rFonts w:ascii="宋体" w:eastAsia="宋体" w:hAnsi="宋体" w:cs="宋体" w:hint="eastAsia"/>
          <w:color w:val="000000"/>
          <w:kern w:val="0"/>
          <w:sz w:val="24"/>
          <w:szCs w:val="24"/>
        </w:rPr>
        <w:t>件一次性资助，外观设计专利授权后不再资助。跨年度专利，资助时间以申报时间为准。对缴纳的前</w:t>
      </w:r>
      <w:r w:rsidRPr="00D9187E">
        <w:rPr>
          <w:rFonts w:ascii="Times New Roman" w:eastAsia="宋体" w:hAnsi="Times New Roman" w:cs="Times New Roman"/>
          <w:color w:val="000000"/>
          <w:kern w:val="0"/>
          <w:sz w:val="24"/>
          <w:szCs w:val="24"/>
        </w:rPr>
        <w:t>3</w:t>
      </w:r>
      <w:r w:rsidRPr="00D9187E">
        <w:rPr>
          <w:rFonts w:ascii="宋体" w:eastAsia="宋体" w:hAnsi="宋体" w:cs="宋体" w:hint="eastAsia"/>
          <w:color w:val="000000"/>
          <w:kern w:val="0"/>
          <w:sz w:val="24"/>
          <w:szCs w:val="24"/>
        </w:rPr>
        <w:t>年发明专利年费，按实缴数给予全额资助。</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Times New Roman" w:eastAsia="宋体" w:hAnsi="Times New Roman" w:cs="Times New Roman"/>
          <w:color w:val="000000"/>
          <w:kern w:val="0"/>
          <w:sz w:val="24"/>
          <w:szCs w:val="24"/>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黑体" w:eastAsia="黑体" w:hAnsi="黑体" w:cs="宋体" w:hint="eastAsia"/>
          <w:color w:val="000000"/>
          <w:kern w:val="0"/>
          <w:sz w:val="24"/>
          <w:szCs w:val="24"/>
        </w:rPr>
        <w:t>第七章</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附</w:t>
      </w:r>
      <w:r w:rsidRPr="00D9187E">
        <w:rPr>
          <w:rFonts w:ascii="Calibri" w:eastAsia="黑体" w:hAnsi="Calibri" w:cs="Calibri"/>
          <w:color w:val="000000"/>
          <w:kern w:val="0"/>
          <w:sz w:val="24"/>
          <w:szCs w:val="24"/>
        </w:rPr>
        <w:t>    </w:t>
      </w:r>
      <w:r w:rsidRPr="00D9187E">
        <w:rPr>
          <w:rFonts w:ascii="黑体" w:eastAsia="黑体" w:hAnsi="黑体" w:cs="宋体" w:hint="eastAsia"/>
          <w:color w:val="000000"/>
          <w:kern w:val="0"/>
          <w:sz w:val="24"/>
          <w:szCs w:val="24"/>
        </w:rPr>
        <w:t>则</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第二十二条  引进和建立带动性强、对我区经济发展贡献大的重点支柱性产业、重大高新技术产业化项目、科研机构和创新平台，经区委、区政府批准，采取“一事一议”的方式给予重点扶持。</w:t>
      </w:r>
    </w:p>
    <w:p w:rsidR="00D9187E" w:rsidRPr="00D9187E" w:rsidRDefault="00D9187E" w:rsidP="00D9187E">
      <w:pPr>
        <w:widowControl/>
        <w:shd w:val="clear" w:color="auto" w:fill="FFFFFF"/>
        <w:spacing w:before="100" w:beforeAutospacing="1" w:after="100" w:afterAutospacing="1" w:line="600" w:lineRule="atLeast"/>
        <w:ind w:firstLine="640"/>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第二十三条</w:t>
      </w:r>
      <w:r w:rsidRPr="00D9187E">
        <w:rPr>
          <w:rFonts w:ascii="Times New Roman" w:eastAsia="宋体" w:hAnsi="Times New Roman" w:cs="Times New Roman"/>
          <w:color w:val="000000"/>
          <w:kern w:val="0"/>
          <w:sz w:val="24"/>
          <w:szCs w:val="24"/>
        </w:rPr>
        <w:t>  </w:t>
      </w:r>
      <w:r w:rsidRPr="00D9187E">
        <w:rPr>
          <w:rFonts w:ascii="宋体" w:eastAsia="宋体" w:hAnsi="宋体" w:cs="宋体" w:hint="eastAsia"/>
          <w:color w:val="000000"/>
          <w:kern w:val="0"/>
          <w:sz w:val="24"/>
          <w:szCs w:val="24"/>
        </w:rPr>
        <w:t>申请享受本办法扶持的企业必须提交</w:t>
      </w:r>
      <w:r w:rsidRPr="00D9187E">
        <w:rPr>
          <w:rFonts w:ascii="Times New Roman" w:eastAsia="宋体" w:hAnsi="Times New Roman" w:cs="Times New Roman"/>
          <w:color w:val="000000"/>
          <w:kern w:val="0"/>
          <w:sz w:val="24"/>
          <w:szCs w:val="24"/>
        </w:rPr>
        <w:t>10</w:t>
      </w:r>
      <w:r w:rsidRPr="00D9187E">
        <w:rPr>
          <w:rFonts w:ascii="宋体" w:eastAsia="宋体" w:hAnsi="宋体" w:cs="宋体" w:hint="eastAsia"/>
          <w:color w:val="000000"/>
          <w:kern w:val="0"/>
          <w:sz w:val="24"/>
          <w:szCs w:val="24"/>
        </w:rPr>
        <w:t>年内不迁离注册及办公地址、不改变在本区的纳税义务、不减少注册资本的承诺书。如企业违反承诺，由业务主管部门负责依法追收已经发放的扶持金。</w:t>
      </w:r>
    </w:p>
    <w:p w:rsidR="00D9187E" w:rsidRPr="00D9187E" w:rsidRDefault="00D9187E" w:rsidP="00D9187E">
      <w:pPr>
        <w:widowControl/>
        <w:shd w:val="clear" w:color="auto" w:fill="FFFFFF"/>
        <w:spacing w:before="100" w:beforeAutospacing="1" w:after="100" w:afterAutospacing="1" w:line="600" w:lineRule="atLeast"/>
        <w:ind w:firstLine="632"/>
        <w:jc w:val="left"/>
        <w:rPr>
          <w:rFonts w:ascii="宋体" w:eastAsia="宋体" w:hAnsi="宋体" w:cs="宋体" w:hint="eastAsia"/>
          <w:color w:val="000000"/>
          <w:kern w:val="0"/>
          <w:szCs w:val="21"/>
        </w:rPr>
      </w:pPr>
      <w:r w:rsidRPr="00D9187E">
        <w:rPr>
          <w:rFonts w:ascii="宋体" w:eastAsia="宋体" w:hAnsi="宋体" w:cs="宋体" w:hint="eastAsia"/>
          <w:b/>
          <w:bCs/>
          <w:color w:val="000000"/>
          <w:kern w:val="0"/>
          <w:sz w:val="24"/>
          <w:szCs w:val="24"/>
        </w:rPr>
        <w:t>第二十四条  </w:t>
      </w:r>
      <w:r w:rsidRPr="00D9187E">
        <w:rPr>
          <w:rFonts w:ascii="宋体" w:eastAsia="宋体" w:hAnsi="宋体" w:cs="宋体" w:hint="eastAsia"/>
          <w:color w:val="000000"/>
          <w:kern w:val="0"/>
          <w:sz w:val="24"/>
          <w:szCs w:val="24"/>
        </w:rPr>
        <w:t>本办法与我区已出台的奖励扶持政策或同一事项不一致的以本办法为准；可获得多个区级同类补助、奖励的，按照就高不就低原则，不重复享受；享受区级补助或奖励的，不影响其同时争取国家、市支持。</w:t>
      </w:r>
    </w:p>
    <w:p w:rsidR="00D9187E" w:rsidRPr="00D9187E" w:rsidRDefault="00D9187E" w:rsidP="00D9187E">
      <w:pPr>
        <w:widowControl/>
        <w:shd w:val="clear" w:color="auto" w:fill="FFFFFF"/>
        <w:spacing w:before="100" w:beforeAutospacing="1" w:after="100" w:afterAutospacing="1" w:line="600" w:lineRule="atLeast"/>
        <w:jc w:val="left"/>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 </w:t>
      </w:r>
    </w:p>
    <w:p w:rsidR="00D9187E" w:rsidRPr="00D9187E" w:rsidRDefault="00D9187E" w:rsidP="00D9187E">
      <w:pPr>
        <w:widowControl/>
        <w:jc w:val="left"/>
        <w:rPr>
          <w:rFonts w:ascii="宋体" w:eastAsia="宋体" w:hAnsi="宋体" w:cs="宋体" w:hint="eastAsia"/>
          <w:kern w:val="0"/>
          <w:sz w:val="24"/>
          <w:szCs w:val="24"/>
        </w:rPr>
      </w:pPr>
      <w:r w:rsidRPr="00D9187E">
        <w:rPr>
          <w:rFonts w:ascii="宋体" w:eastAsia="宋体" w:hAnsi="宋体" w:cs="宋体" w:hint="eastAsia"/>
          <w:color w:val="000000"/>
          <w:kern w:val="0"/>
          <w:sz w:val="24"/>
          <w:szCs w:val="24"/>
          <w:shd w:val="clear" w:color="auto" w:fill="FFFFFF"/>
        </w:rPr>
        <w:t>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color w:val="000000"/>
          <w:kern w:val="0"/>
          <w:szCs w:val="21"/>
        </w:rPr>
      </w:pPr>
      <w:r w:rsidRPr="00D9187E">
        <w:rPr>
          <w:rFonts w:ascii="宋体" w:eastAsia="宋体" w:hAnsi="宋体" w:cs="宋体" w:hint="eastAsia"/>
          <w:color w:val="000000"/>
          <w:kern w:val="0"/>
          <w:sz w:val="24"/>
          <w:szCs w:val="24"/>
        </w:rPr>
        <w:t>     抄送：区委办，区人大办，区政协办，区纪委，区法院，检察院，县人武部。         </w:t>
      </w:r>
    </w:p>
    <w:p w:rsidR="00D9187E" w:rsidRPr="00D9187E" w:rsidRDefault="00D9187E" w:rsidP="00D9187E">
      <w:pPr>
        <w:widowControl/>
        <w:shd w:val="clear" w:color="auto" w:fill="FFFFFF"/>
        <w:spacing w:before="100" w:beforeAutospacing="1" w:after="100" w:afterAutospacing="1" w:line="600" w:lineRule="atLeast"/>
        <w:jc w:val="center"/>
        <w:rPr>
          <w:rFonts w:ascii="宋体" w:eastAsia="宋体" w:hAnsi="宋体" w:cs="宋体" w:hint="eastAsia"/>
          <w:color w:val="000000"/>
          <w:kern w:val="0"/>
          <w:szCs w:val="21"/>
        </w:rPr>
      </w:pPr>
      <w:r w:rsidRPr="00D9187E">
        <w:rPr>
          <w:rFonts w:ascii="宋体" w:eastAsia="宋体" w:hAnsi="宋体" w:cs="宋体" w:hint="eastAsia"/>
          <w:color w:val="000000"/>
          <w:kern w:val="0"/>
          <w:sz w:val="24"/>
          <w:szCs w:val="24"/>
        </w:rPr>
        <w:t>重庆市潼南区人民政府办公室</w:t>
      </w:r>
      <w:r w:rsidRPr="00D9187E">
        <w:rPr>
          <w:rFonts w:ascii="Times New Roman" w:eastAsia="宋体" w:hAnsi="Times New Roman" w:cs="Times New Roman"/>
          <w:color w:val="000000"/>
          <w:kern w:val="0"/>
          <w:sz w:val="24"/>
          <w:szCs w:val="24"/>
        </w:rPr>
        <w:t>              2017</w:t>
      </w:r>
      <w:r w:rsidRPr="00D9187E">
        <w:rPr>
          <w:rFonts w:ascii="宋体" w:eastAsia="宋体" w:hAnsi="宋体" w:cs="宋体" w:hint="eastAsia"/>
          <w:color w:val="000000"/>
          <w:kern w:val="0"/>
          <w:sz w:val="24"/>
          <w:szCs w:val="24"/>
        </w:rPr>
        <w:t>年</w:t>
      </w:r>
      <w:r w:rsidRPr="00D9187E">
        <w:rPr>
          <w:rFonts w:ascii="Times New Roman" w:eastAsia="宋体" w:hAnsi="Times New Roman" w:cs="Times New Roman"/>
          <w:color w:val="000000"/>
          <w:kern w:val="0"/>
          <w:sz w:val="24"/>
          <w:szCs w:val="24"/>
        </w:rPr>
        <w:t>12</w:t>
      </w:r>
      <w:r w:rsidRPr="00D9187E">
        <w:rPr>
          <w:rFonts w:ascii="宋体" w:eastAsia="宋体" w:hAnsi="宋体" w:cs="宋体" w:hint="eastAsia"/>
          <w:color w:val="000000"/>
          <w:kern w:val="0"/>
          <w:sz w:val="24"/>
          <w:szCs w:val="24"/>
        </w:rPr>
        <w:t>月</w:t>
      </w:r>
      <w:r w:rsidRPr="00D9187E">
        <w:rPr>
          <w:rFonts w:ascii="Times New Roman" w:eastAsia="宋体" w:hAnsi="Times New Roman" w:cs="Times New Roman"/>
          <w:color w:val="000000"/>
          <w:kern w:val="0"/>
          <w:sz w:val="24"/>
          <w:szCs w:val="24"/>
        </w:rPr>
        <w:t>29</w:t>
      </w:r>
      <w:r w:rsidRPr="00D9187E">
        <w:rPr>
          <w:rFonts w:ascii="宋体" w:eastAsia="宋体" w:hAnsi="宋体" w:cs="宋体" w:hint="eastAsia"/>
          <w:color w:val="000000"/>
          <w:kern w:val="0"/>
          <w:sz w:val="24"/>
          <w:szCs w:val="24"/>
        </w:rPr>
        <w:t>日印发</w:t>
      </w:r>
    </w:p>
    <w:p w:rsidR="003B17EE" w:rsidRDefault="003B17EE"/>
    <w:sectPr w:rsidR="003B1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7E"/>
    <w:rsid w:val="003B17EE"/>
    <w:rsid w:val="00D9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2C113-E793-4844-9058-2C59C567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9187E"/>
  </w:style>
  <w:style w:type="paragraph" w:styleId="a3">
    <w:name w:val="Normal (Web)"/>
    <w:basedOn w:val="a"/>
    <w:uiPriority w:val="99"/>
    <w:semiHidden/>
    <w:unhideWhenUsed/>
    <w:rsid w:val="00D918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5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2018-05-10T04:01:00Z</dcterms:created>
  <dcterms:modified xsi:type="dcterms:W3CDTF">2018-05-10T04:02:00Z</dcterms:modified>
</cp:coreProperties>
</file>