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宋体" w:hAnsi="宋体" w:eastAsia="宋体" w:cs="宋体"/>
          <w:i w:val="0"/>
          <w:caps w:val="0"/>
          <w:color w:val="333333"/>
          <w:spacing w:val="0"/>
          <w:sz w:val="45"/>
          <w:szCs w:val="45"/>
          <w:u w:val="none"/>
        </w:rPr>
      </w:pPr>
      <w:bookmarkStart w:id="0" w:name="_GoBack"/>
      <w:r>
        <w:rPr>
          <w:rFonts w:hint="eastAsia" w:ascii="宋体" w:hAnsi="宋体" w:eastAsia="宋体" w:cs="宋体"/>
          <w:i w:val="0"/>
          <w:caps w:val="0"/>
          <w:color w:val="333333"/>
          <w:spacing w:val="0"/>
          <w:kern w:val="0"/>
          <w:sz w:val="45"/>
          <w:szCs w:val="45"/>
          <w:u w:val="none"/>
          <w:bdr w:val="none" w:color="auto" w:sz="0" w:space="0"/>
          <w:shd w:val="clear" w:fill="FFFFFF"/>
          <w:lang w:val="en-US" w:eastAsia="zh-CN" w:bidi="ar"/>
        </w:rPr>
        <w:t>关于印发《关于推进企业上市挂牌工作的实施意见》的通知</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color w:val="666666"/>
        </w:rPr>
      </w:pPr>
      <w:r>
        <w:rPr>
          <w:rFonts w:ascii="微软雅黑" w:hAnsi="微软雅黑" w:eastAsia="微软雅黑" w:cs="微软雅黑"/>
          <w:i w:val="0"/>
          <w:caps w:val="0"/>
          <w:color w:val="555555"/>
          <w:spacing w:val="0"/>
          <w:sz w:val="21"/>
          <w:szCs w:val="21"/>
          <w:u w:val="none"/>
          <w:bdr w:val="none" w:color="auto" w:sz="0" w:space="0"/>
          <w:shd w:val="clear" w:fill="FFFFFF"/>
        </w:rPr>
        <w:t>发布时间: 2016-07-19 12:00</w:t>
      </w:r>
      <w:r>
        <w:rPr>
          <w:rFonts w:hint="eastAsia" w:ascii="微软雅黑" w:hAnsi="微软雅黑" w:eastAsia="微软雅黑" w:cs="微软雅黑"/>
          <w:i w:val="0"/>
          <w:caps w:val="0"/>
          <w:color w:val="555555"/>
          <w:spacing w:val="0"/>
          <w:sz w:val="21"/>
          <w:szCs w:val="21"/>
          <w:u w:val="none"/>
          <w:bdr w:val="none" w:color="auto" w:sz="0" w:space="0"/>
          <w:shd w:val="clear" w:fill="FFFFFF"/>
        </w:rPr>
        <w:t> 字体：[</w:t>
      </w:r>
      <w:r>
        <w:rPr>
          <w:rFonts w:hint="eastAsia" w:ascii="微软雅黑" w:hAnsi="微软雅黑" w:eastAsia="微软雅黑" w:cs="微软雅黑"/>
          <w:i w:val="0"/>
          <w:caps w:val="0"/>
          <w:color w:val="333333"/>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21"/>
          <w:szCs w:val="21"/>
          <w:u w:val="none"/>
          <w:bdr w:val="none" w:color="auto" w:sz="0" w:space="0"/>
          <w:shd w:val="clear" w:fill="FFFFFF"/>
        </w:rPr>
        <w:instrText xml:space="preserve"> HYPERLINK "http://www.px.gov.cn/px/zfwj/201607/javascript:doZoom(18)" </w:instrText>
      </w:r>
      <w:r>
        <w:rPr>
          <w:rFonts w:hint="eastAsia" w:ascii="微软雅黑" w:hAnsi="微软雅黑" w:eastAsia="微软雅黑" w:cs="微软雅黑"/>
          <w:i w:val="0"/>
          <w:caps w:val="0"/>
          <w:color w:val="333333"/>
          <w:spacing w:val="0"/>
          <w:sz w:val="21"/>
          <w:szCs w:val="21"/>
          <w:u w:val="none"/>
          <w:bdr w:val="none" w:color="auto" w:sz="0" w:space="0"/>
          <w:shd w:val="clear" w:fill="FFFFFF"/>
        </w:rPr>
        <w:fldChar w:fldCharType="separate"/>
      </w:r>
      <w:r>
        <w:rPr>
          <w:rStyle w:val="6"/>
          <w:rFonts w:hint="eastAsia" w:ascii="微软雅黑" w:hAnsi="微软雅黑" w:eastAsia="微软雅黑" w:cs="微软雅黑"/>
          <w:i w:val="0"/>
          <w:caps w:val="0"/>
          <w:color w:val="333333"/>
          <w:spacing w:val="0"/>
          <w:sz w:val="21"/>
          <w:szCs w:val="21"/>
          <w:u w:val="none"/>
          <w:bdr w:val="none" w:color="auto" w:sz="0" w:space="0"/>
          <w:shd w:val="clear" w:fill="FFFFFF"/>
        </w:rPr>
        <w:t>大</w:t>
      </w:r>
      <w:r>
        <w:rPr>
          <w:rFonts w:hint="eastAsia" w:ascii="微软雅黑" w:hAnsi="微软雅黑" w:eastAsia="微软雅黑" w:cs="微软雅黑"/>
          <w:i w:val="0"/>
          <w:caps w:val="0"/>
          <w:color w:val="333333"/>
          <w:spacing w:val="0"/>
          <w:sz w:val="21"/>
          <w:szCs w:val="21"/>
          <w:u w:val="none"/>
          <w:bdr w:val="none" w:color="auto" w:sz="0" w:space="0"/>
          <w:shd w:val="clear" w:fill="FFFFFF"/>
        </w:rPr>
        <w:fldChar w:fldCharType="end"/>
      </w:r>
      <w:r>
        <w:rPr>
          <w:rFonts w:hint="eastAsia" w:ascii="微软雅黑" w:hAnsi="微软雅黑" w:eastAsia="微软雅黑" w:cs="微软雅黑"/>
          <w:i w:val="0"/>
          <w:caps w:val="0"/>
          <w:color w:val="555555"/>
          <w:spacing w:val="0"/>
          <w:sz w:val="21"/>
          <w:szCs w:val="21"/>
          <w:u w:val="none"/>
          <w:bdr w:val="none" w:color="auto" w:sz="0" w:space="0"/>
          <w:shd w:val="clear" w:fill="FFFFFF"/>
        </w:rPr>
        <w:t> </w:t>
      </w:r>
      <w:r>
        <w:rPr>
          <w:rFonts w:hint="eastAsia" w:ascii="微软雅黑" w:hAnsi="微软雅黑" w:eastAsia="微软雅黑" w:cs="微软雅黑"/>
          <w:i w:val="0"/>
          <w:caps w:val="0"/>
          <w:color w:val="333333"/>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21"/>
          <w:szCs w:val="21"/>
          <w:u w:val="none"/>
          <w:bdr w:val="none" w:color="auto" w:sz="0" w:space="0"/>
          <w:shd w:val="clear" w:fill="FFFFFF"/>
        </w:rPr>
        <w:instrText xml:space="preserve"> HYPERLINK "http://www.px.gov.cn/px/zfwj/201607/javascript:doZoom(16)" </w:instrText>
      </w:r>
      <w:r>
        <w:rPr>
          <w:rFonts w:hint="eastAsia" w:ascii="微软雅黑" w:hAnsi="微软雅黑" w:eastAsia="微软雅黑" w:cs="微软雅黑"/>
          <w:i w:val="0"/>
          <w:caps w:val="0"/>
          <w:color w:val="333333"/>
          <w:spacing w:val="0"/>
          <w:sz w:val="21"/>
          <w:szCs w:val="21"/>
          <w:u w:val="none"/>
          <w:bdr w:val="none" w:color="auto" w:sz="0" w:space="0"/>
          <w:shd w:val="clear" w:fill="FFFFFF"/>
        </w:rPr>
        <w:fldChar w:fldCharType="separate"/>
      </w:r>
      <w:r>
        <w:rPr>
          <w:rStyle w:val="6"/>
          <w:rFonts w:hint="eastAsia" w:ascii="微软雅黑" w:hAnsi="微软雅黑" w:eastAsia="微软雅黑" w:cs="微软雅黑"/>
          <w:i w:val="0"/>
          <w:caps w:val="0"/>
          <w:color w:val="333333"/>
          <w:spacing w:val="0"/>
          <w:sz w:val="21"/>
          <w:szCs w:val="21"/>
          <w:u w:val="none"/>
          <w:bdr w:val="none" w:color="auto" w:sz="0" w:space="0"/>
          <w:shd w:val="clear" w:fill="FFFFFF"/>
        </w:rPr>
        <w:t>中</w:t>
      </w:r>
      <w:r>
        <w:rPr>
          <w:rFonts w:hint="eastAsia" w:ascii="微软雅黑" w:hAnsi="微软雅黑" w:eastAsia="微软雅黑" w:cs="微软雅黑"/>
          <w:i w:val="0"/>
          <w:caps w:val="0"/>
          <w:color w:val="333333"/>
          <w:spacing w:val="0"/>
          <w:sz w:val="21"/>
          <w:szCs w:val="21"/>
          <w:u w:val="none"/>
          <w:bdr w:val="none" w:color="auto" w:sz="0" w:space="0"/>
          <w:shd w:val="clear" w:fill="FFFFFF"/>
        </w:rPr>
        <w:fldChar w:fldCharType="end"/>
      </w:r>
      <w:r>
        <w:rPr>
          <w:rFonts w:hint="eastAsia" w:ascii="微软雅黑" w:hAnsi="微软雅黑" w:eastAsia="微软雅黑" w:cs="微软雅黑"/>
          <w:i w:val="0"/>
          <w:caps w:val="0"/>
          <w:color w:val="555555"/>
          <w:spacing w:val="0"/>
          <w:sz w:val="21"/>
          <w:szCs w:val="21"/>
          <w:u w:val="none"/>
          <w:bdr w:val="none" w:color="auto" w:sz="0" w:space="0"/>
          <w:shd w:val="clear" w:fill="FFFFFF"/>
        </w:rPr>
        <w:t> </w:t>
      </w:r>
      <w:r>
        <w:rPr>
          <w:rFonts w:hint="eastAsia" w:ascii="微软雅黑" w:hAnsi="微软雅黑" w:eastAsia="微软雅黑" w:cs="微软雅黑"/>
          <w:i w:val="0"/>
          <w:caps w:val="0"/>
          <w:color w:val="333333"/>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21"/>
          <w:szCs w:val="21"/>
          <w:u w:val="none"/>
          <w:bdr w:val="none" w:color="auto" w:sz="0" w:space="0"/>
          <w:shd w:val="clear" w:fill="FFFFFF"/>
        </w:rPr>
        <w:instrText xml:space="preserve"> HYPERLINK "http://www.px.gov.cn/px/zfwj/201607/javascript:doZoom(14)" </w:instrText>
      </w:r>
      <w:r>
        <w:rPr>
          <w:rFonts w:hint="eastAsia" w:ascii="微软雅黑" w:hAnsi="微软雅黑" w:eastAsia="微软雅黑" w:cs="微软雅黑"/>
          <w:i w:val="0"/>
          <w:caps w:val="0"/>
          <w:color w:val="333333"/>
          <w:spacing w:val="0"/>
          <w:sz w:val="21"/>
          <w:szCs w:val="21"/>
          <w:u w:val="none"/>
          <w:bdr w:val="none" w:color="auto" w:sz="0" w:space="0"/>
          <w:shd w:val="clear" w:fill="FFFFFF"/>
        </w:rPr>
        <w:fldChar w:fldCharType="separate"/>
      </w:r>
      <w:r>
        <w:rPr>
          <w:rStyle w:val="6"/>
          <w:rFonts w:hint="eastAsia" w:ascii="微软雅黑" w:hAnsi="微软雅黑" w:eastAsia="微软雅黑" w:cs="微软雅黑"/>
          <w:i w:val="0"/>
          <w:caps w:val="0"/>
          <w:color w:val="333333"/>
          <w:spacing w:val="0"/>
          <w:sz w:val="21"/>
          <w:szCs w:val="21"/>
          <w:u w:val="none"/>
          <w:bdr w:val="none" w:color="auto" w:sz="0" w:space="0"/>
          <w:shd w:val="clear" w:fill="FFFFFF"/>
        </w:rPr>
        <w:t>小</w:t>
      </w:r>
      <w:r>
        <w:rPr>
          <w:rFonts w:hint="eastAsia" w:ascii="微软雅黑" w:hAnsi="微软雅黑" w:eastAsia="微软雅黑" w:cs="微软雅黑"/>
          <w:i w:val="0"/>
          <w:caps w:val="0"/>
          <w:color w:val="333333"/>
          <w:spacing w:val="0"/>
          <w:sz w:val="21"/>
          <w:szCs w:val="21"/>
          <w:u w:val="none"/>
          <w:bdr w:val="none" w:color="auto" w:sz="0" w:space="0"/>
          <w:shd w:val="clear" w:fill="FFFFFF"/>
        </w:rPr>
        <w:fldChar w:fldCharType="end"/>
      </w:r>
      <w:r>
        <w:rPr>
          <w:rFonts w:hint="eastAsia" w:ascii="微软雅黑" w:hAnsi="微软雅黑" w:eastAsia="微软雅黑" w:cs="微软雅黑"/>
          <w:i w:val="0"/>
          <w:caps w:val="0"/>
          <w:color w:val="555555"/>
          <w:spacing w:val="0"/>
          <w:sz w:val="21"/>
          <w:szCs w:val="21"/>
          <w:u w:val="none"/>
          <w:bdr w:val="none" w:color="auto" w:sz="0" w:space="0"/>
          <w:shd w:val="clear" w:fill="FFFFFF"/>
        </w:rPr>
        <w:t>] 来源：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ascii="Calibri" w:hAnsi="Calibri" w:cs="Calibri"/>
          <w:sz w:val="21"/>
          <w:szCs w:val="21"/>
        </w:rPr>
      </w:pPr>
      <w:r>
        <w:rPr>
          <w:rFonts w:ascii="仿宋_GB2312" w:hAnsi="Calibri" w:eastAsia="仿宋_GB2312" w:cs="仿宋_GB2312"/>
          <w:i w:val="0"/>
          <w:caps w:val="0"/>
          <w:color w:val="333333"/>
          <w:spacing w:val="0"/>
          <w:kern w:val="0"/>
          <w:sz w:val="32"/>
          <w:szCs w:val="32"/>
          <w:bdr w:val="none" w:color="auto" w:sz="0" w:space="0"/>
          <w:shd w:val="clear" w:fill="FFFFFF"/>
          <w:lang w:val="en-US" w:eastAsia="zh-CN" w:bidi="ar"/>
        </w:rPr>
        <w:t>各镇人民政府、街道办事处、</w:t>
      </w:r>
      <w:r>
        <w:rPr>
          <w:rFonts w:hint="default" w:ascii="仿宋_GB2312" w:hAnsi="Calibri" w:eastAsia="仿宋_GB2312" w:cs="仿宋_GB2312"/>
          <w:i w:val="0"/>
          <w:caps w:val="0"/>
          <w:color w:val="000000"/>
          <w:spacing w:val="0"/>
          <w:kern w:val="0"/>
          <w:sz w:val="32"/>
          <w:szCs w:val="32"/>
          <w:bdr w:val="none" w:color="auto" w:sz="0" w:space="0"/>
          <w:shd w:val="clear" w:fill="FFFFFF"/>
          <w:lang w:val="en-US" w:eastAsia="zh-CN" w:bidi="ar"/>
        </w:rPr>
        <w:t>区（场）管委会，</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县各委办局，县各直属单位：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《关于推进企业上市挂牌工作的实施意见》已经县人民政府同意，现印发给你们，请认真贯彻执行。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3046" w:right="106" w:firstLine="0"/>
        <w:jc w:val="center"/>
      </w:pPr>
      <w:r>
        <w:rPr>
          <w:rFonts w:hint="eastAsia" w:ascii="微软雅黑" w:hAnsi="微软雅黑" w:eastAsia="微软雅黑" w:cs="微软雅黑"/>
          <w:i w:val="0"/>
          <w:caps w:val="0"/>
          <w:color w:val="333333"/>
          <w:spacing w:val="0"/>
          <w:sz w:val="22"/>
          <w:szCs w:val="2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3046" w:right="106" w:firstLine="0"/>
      </w:pPr>
      <w:r>
        <w:rPr>
          <w:rFonts w:hint="eastAsia" w:ascii="微软雅黑" w:hAnsi="微软雅黑" w:eastAsia="微软雅黑" w:cs="微软雅黑"/>
          <w:i w:val="0"/>
          <w:caps w:val="0"/>
          <w:color w:val="333333"/>
          <w:spacing w:val="0"/>
          <w:sz w:val="22"/>
          <w:szCs w:val="2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3046" w:right="106" w:firstLine="0"/>
        <w:jc w:val="center"/>
      </w:pPr>
      <w:r>
        <w:rPr>
          <w:rFonts w:hint="default" w:ascii="仿宋_GB2312" w:hAnsi="微软雅黑" w:eastAsia="仿宋_GB2312" w:cs="仿宋_GB2312"/>
          <w:i w:val="0"/>
          <w:caps w:val="0"/>
          <w:color w:val="333333"/>
          <w:spacing w:val="0"/>
          <w:sz w:val="32"/>
          <w:szCs w:val="32"/>
          <w:bdr w:val="none" w:color="auto" w:sz="0" w:space="0"/>
          <w:shd w:val="clear" w:fill="FFFFFF"/>
        </w:rPr>
        <w:t>沛县人民政府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3046" w:right="106" w:firstLine="0"/>
        <w:jc w:val="center"/>
      </w:pPr>
      <w:r>
        <w:rPr>
          <w:rFonts w:hint="default" w:ascii="仿宋_GB2312" w:hAnsi="微软雅黑" w:eastAsia="仿宋_GB2312" w:cs="仿宋_GB2312"/>
          <w:i w:val="0"/>
          <w:caps w:val="0"/>
          <w:color w:val="333333"/>
          <w:spacing w:val="0"/>
          <w:sz w:val="32"/>
          <w:szCs w:val="32"/>
          <w:bdr w:val="none" w:color="auto" w:sz="0" w:space="0"/>
          <w:shd w:val="clear" w:fill="FFFFFF"/>
        </w:rPr>
        <w:t> 2016年7月19日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Calibri" w:hAnsi="Calibri" w:cs="Calibri"/>
          <w:sz w:val="21"/>
          <w:szCs w:val="21"/>
        </w:rPr>
      </w:pPr>
      <w:r>
        <w:rPr>
          <w:rFonts w:hint="default" w:ascii="Calibri" w:hAnsi="Calibri" w:eastAsia="微软雅黑" w:cs="Calibri"/>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rPr>
      </w:pPr>
      <w:r>
        <w:rPr>
          <w:rFonts w:hint="default" w:ascii="Calibri" w:hAnsi="Calibri" w:eastAsia="微软雅黑" w:cs="Calibri"/>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rPr>
      </w:pPr>
      <w:r>
        <w:rPr>
          <w:rFonts w:ascii="方正小标宋_GBK" w:hAnsi="方正小标宋_GBK" w:eastAsia="方正小标宋_GBK" w:cs="方正小标宋_GBK"/>
          <w:i w:val="0"/>
          <w:caps w:val="0"/>
          <w:color w:val="333333"/>
          <w:spacing w:val="0"/>
          <w:kern w:val="0"/>
          <w:sz w:val="44"/>
          <w:szCs w:val="44"/>
          <w:bdr w:val="none" w:color="auto" w:sz="0" w:space="0"/>
          <w:shd w:val="clear" w:fill="FFFFFF"/>
          <w:lang w:val="en-US" w:eastAsia="zh-CN" w:bidi="ar"/>
        </w:rPr>
        <w:t>关于推进企业上市挂牌工作的实施意见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为进一步鼓励和支持我县企业加快上市挂牌步伐，推动企业利用资本市场，加快发展培育一批有影响力、带动力的上市企业，结合我县实际，特制定以下意见：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1"/>
          <w:szCs w:val="21"/>
        </w:rPr>
      </w:pPr>
      <w:r>
        <w:rPr>
          <w:rFonts w:ascii="黑体" w:hAnsi="宋体" w:eastAsia="黑体" w:cs="黑体"/>
          <w:i w:val="0"/>
          <w:caps w:val="0"/>
          <w:color w:val="333333"/>
          <w:spacing w:val="0"/>
          <w:kern w:val="0"/>
          <w:sz w:val="32"/>
          <w:szCs w:val="32"/>
          <w:bdr w:val="none" w:color="auto" w:sz="0" w:space="0"/>
          <w:shd w:val="clear" w:fill="FFFFFF"/>
          <w:lang w:val="en-US" w:eastAsia="zh-CN" w:bidi="ar"/>
        </w:rPr>
        <w:t>     </w:t>
      </w: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一、适用范围和条件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1.</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本意见适用于注册地在沛县且拟在境内主板、中小板、创业板、新三板、地方股权交易中心上市挂牌的企业。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2.</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凡享受我县关于上市挂牌扶持政策的企业必须符合以下条件：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1</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）符合我县鼓励发展的产业；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2</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）企业有</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1</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年以上的经营记录；招引落户或本地成长的发展前景看好、具有较高的成长性；企业产品具有较高的科技含量或者是技术先进型服务企业；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3</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）企业已制定详细的上市挂牌工作计划，并成立专门的工作班子，与证券公司、会计师事务所、律师事务所等中介机构签订合作协议并实质运作；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Calibri" w:hAnsi="Calibri" w:cs="Calibri"/>
          <w:sz w:val="21"/>
          <w:szCs w:val="21"/>
        </w:rPr>
      </w:pP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4</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）企业上市挂牌后募集资金的</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80%</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以上投资在我县。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Calibri" w:hAnsi="Calibri" w:cs="Calibri"/>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二、鼓励企业境内</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IPO</w:t>
      </w: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上市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3.</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境内</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IPO</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拟上市企业分别在股改结束（以工商注册为准）、向中国证监会提交上市申请文件（以受理函为准）、成功上市三个阶段凭相关证明文件向县发改委、财政局提交申请第一阶段</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40</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万元，第二阶段</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60</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万元，第三阶段</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100</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万元的补助资金，经审核通过后，由县财政拨付给企业。拟上市公司因对以往年度财务指标进行审计调账需补缴的增值税、所得税等相关税收的地方留成部分，予以全额奖励给企业。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Calibri" w:hAnsi="Calibri" w:cs="Calibri"/>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三、鼓励企业“新三板”挂牌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4.</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企业拟在全国中小企业股份转让系统（以下简称</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新三板</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）挂牌的，分别在股改结束（以工商注册为准）、向机构报送挂牌申请文件（以受理函为准）、正式挂牌三个阶段凭相关证明文件向县发改委、财政局申请第一个阶段</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10</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万元，第二个阶段</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20</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万元，第三个阶段</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70</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万元扶持资金，经审核通过后，由县财政拨付给企业。拟挂牌企业因</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新三板</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挂牌需要，对以往年度财务指标进行审计调账需补缴的增值税、所得税等相关税收的地方留成部分，予以全额奖励给企业。挂牌企业转板境内</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IPO</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成功的，参照企业</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IPO</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给予扶持资金，前述扶持资金应扣除企业在</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新三板</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挂牌时已享受的部分。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5.</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我县企业在本县外收购或控股</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新三板</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挂牌公司且将该公司注册地、经营地、纳税销售地调整至我县的，以及招引本县外已挂牌</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新三板</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公司搬迁至我县的，对绩效良好的企业可参照</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新三板</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挂牌，给予一次性</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30</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万元奖励。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Calibri" w:hAnsi="Calibri" w:cs="Calibri"/>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四、鼓励企业在地方股权交易中心挂牌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6.</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拟挂牌企业分别在股改结束（以工商注册为准）、向天津股权交易所</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(A</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板</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、上海股权托管交易中心（</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E</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板）、江苏股权交易中心</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价值板</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等地方股权交易中心提交申请材料（以受理函为准）、正式挂牌三个阶段凭相关证明文件向县发改委、财政局申请第一阶段</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10</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万元、第二阶段</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20</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万元、第三阶段</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30</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万元的补助资金，经审核通过后，由县财政拨付给企业。企业在天津股权交易所</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(B</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板</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、上海股权托管交易中心（</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Q</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板）、江苏股权交易中心</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成长板</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等地方股权交易中心挂牌后，县财政按照企业实际工作经费的</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50%</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予以补助，最高不超过</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5</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万元。企业由地方股权交易所转而实现</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新三板</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挂牌、境内</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IPO</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上市的，按本意见关于鼓励企业</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新三板</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挂牌、境内</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IPO</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上市条款执行，补足相应扶持资金。前述扶持资金的拨付按照本意见的一般流程，兑现时扣除企业在挂牌地方股权交易中心时已享受的部分。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Calibri" w:hAnsi="Calibri" w:cs="Calibri"/>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五、鼓励企业上市挂牌融资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7.</w:t>
      </w:r>
      <w:r>
        <w:rPr>
          <w:rFonts w:hint="default" w:ascii="仿宋_GB2312" w:hAnsi="Calibri" w:eastAsia="仿宋_GB2312" w:cs="仿宋_GB2312"/>
          <w:i w:val="0"/>
          <w:caps w:val="0"/>
          <w:color w:val="000000"/>
          <w:spacing w:val="0"/>
          <w:kern w:val="0"/>
          <w:sz w:val="32"/>
          <w:szCs w:val="32"/>
          <w:bdr w:val="none" w:color="auto" w:sz="0" w:space="0"/>
          <w:shd w:val="clear" w:fill="FFFFFF"/>
          <w:lang w:val="en-US" w:eastAsia="zh-CN" w:bidi="ar"/>
        </w:rPr>
        <w:t>上市公司融资，按融资金额的</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0.5%</w:t>
      </w:r>
      <w:r>
        <w:rPr>
          <w:rFonts w:hint="default" w:ascii="仿宋_GB2312" w:hAnsi="Calibri" w:eastAsia="仿宋_GB2312" w:cs="仿宋_GB2312"/>
          <w:i w:val="0"/>
          <w:caps w:val="0"/>
          <w:color w:val="000000"/>
          <w:spacing w:val="0"/>
          <w:kern w:val="0"/>
          <w:sz w:val="32"/>
          <w:szCs w:val="32"/>
          <w:bdr w:val="none" w:color="auto" w:sz="0" w:space="0"/>
          <w:shd w:val="clear" w:fill="FFFFFF"/>
          <w:lang w:val="en-US" w:eastAsia="zh-CN" w:bidi="ar"/>
        </w:rPr>
        <w:t>奖励，最高不超过</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100</w:t>
      </w:r>
      <w:r>
        <w:rPr>
          <w:rFonts w:hint="default" w:ascii="仿宋_GB2312" w:hAnsi="Calibri" w:eastAsia="仿宋_GB2312" w:cs="仿宋_GB2312"/>
          <w:i w:val="0"/>
          <w:caps w:val="0"/>
          <w:color w:val="000000"/>
          <w:spacing w:val="0"/>
          <w:kern w:val="0"/>
          <w:sz w:val="32"/>
          <w:szCs w:val="32"/>
          <w:bdr w:val="none" w:color="auto" w:sz="0" w:space="0"/>
          <w:shd w:val="clear" w:fill="FFFFFF"/>
          <w:lang w:val="en-US" w:eastAsia="zh-CN" w:bidi="ar"/>
        </w:rPr>
        <w:t>万元；在</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000000"/>
          <w:spacing w:val="0"/>
          <w:kern w:val="0"/>
          <w:sz w:val="32"/>
          <w:szCs w:val="32"/>
          <w:bdr w:val="none" w:color="auto" w:sz="0" w:space="0"/>
          <w:shd w:val="clear" w:fill="FFFFFF"/>
          <w:lang w:val="en-US" w:eastAsia="zh-CN" w:bidi="ar"/>
        </w:rPr>
        <w:t>新三板</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w:t>
      </w:r>
      <w:r>
        <w:rPr>
          <w:rFonts w:hint="default" w:ascii="仿宋_GB2312" w:hAnsi="Calibri" w:eastAsia="仿宋_GB2312" w:cs="仿宋_GB2312"/>
          <w:i w:val="0"/>
          <w:caps w:val="0"/>
          <w:color w:val="000000"/>
          <w:spacing w:val="0"/>
          <w:kern w:val="0"/>
          <w:sz w:val="32"/>
          <w:szCs w:val="32"/>
          <w:bdr w:val="none" w:color="auto" w:sz="0" w:space="0"/>
          <w:shd w:val="clear" w:fill="FFFFFF"/>
          <w:lang w:val="en-US" w:eastAsia="zh-CN" w:bidi="ar"/>
        </w:rPr>
        <w:t>、地方股权交易市场挂牌融资的企业，融资金额在</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3000</w:t>
      </w:r>
      <w:r>
        <w:rPr>
          <w:rFonts w:hint="default" w:ascii="仿宋_GB2312" w:hAnsi="Calibri" w:eastAsia="仿宋_GB2312" w:cs="仿宋_GB2312"/>
          <w:i w:val="0"/>
          <w:caps w:val="0"/>
          <w:color w:val="000000"/>
          <w:spacing w:val="0"/>
          <w:kern w:val="0"/>
          <w:sz w:val="32"/>
          <w:szCs w:val="32"/>
          <w:bdr w:val="none" w:color="auto" w:sz="0" w:space="0"/>
          <w:shd w:val="clear" w:fill="FFFFFF"/>
          <w:lang w:val="en-US" w:eastAsia="zh-CN" w:bidi="ar"/>
        </w:rPr>
        <w:t>万元以下的，一次性奖励</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10</w:t>
      </w:r>
      <w:r>
        <w:rPr>
          <w:rFonts w:hint="default" w:ascii="仿宋_GB2312" w:hAnsi="Calibri" w:eastAsia="仿宋_GB2312" w:cs="仿宋_GB2312"/>
          <w:i w:val="0"/>
          <w:caps w:val="0"/>
          <w:color w:val="000000"/>
          <w:spacing w:val="0"/>
          <w:kern w:val="0"/>
          <w:sz w:val="32"/>
          <w:szCs w:val="32"/>
          <w:bdr w:val="none" w:color="auto" w:sz="0" w:space="0"/>
          <w:shd w:val="clear" w:fill="FFFFFF"/>
          <w:lang w:val="en-US" w:eastAsia="zh-CN" w:bidi="ar"/>
        </w:rPr>
        <w:t>万元，</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3000</w:t>
      </w:r>
      <w:r>
        <w:rPr>
          <w:rFonts w:hint="default" w:ascii="仿宋_GB2312" w:hAnsi="Calibri" w:eastAsia="仿宋_GB2312" w:cs="仿宋_GB2312"/>
          <w:i w:val="0"/>
          <w:caps w:val="0"/>
          <w:color w:val="000000"/>
          <w:spacing w:val="0"/>
          <w:kern w:val="0"/>
          <w:sz w:val="32"/>
          <w:szCs w:val="32"/>
          <w:bdr w:val="none" w:color="auto" w:sz="0" w:space="0"/>
          <w:shd w:val="clear" w:fill="FFFFFF"/>
          <w:lang w:val="en-US" w:eastAsia="zh-CN" w:bidi="ar"/>
        </w:rPr>
        <w:t>万元（含）以上的，一次性奖励</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20</w:t>
      </w:r>
      <w:r>
        <w:rPr>
          <w:rFonts w:hint="default" w:ascii="仿宋_GB2312" w:hAnsi="Calibri" w:eastAsia="仿宋_GB2312" w:cs="仿宋_GB2312"/>
          <w:i w:val="0"/>
          <w:caps w:val="0"/>
          <w:color w:val="000000"/>
          <w:spacing w:val="0"/>
          <w:kern w:val="0"/>
          <w:sz w:val="32"/>
          <w:szCs w:val="32"/>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Calibri" w:hAnsi="Calibri" w:cs="Calibri"/>
          <w:sz w:val="21"/>
          <w:szCs w:val="21"/>
        </w:rPr>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六、其他事宜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8.</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建立健全支持企业上市挂牌“绿色通道”，各有关部门和各镇区、街道对企业上市挂牌过程中涉及到的各项手续、证明等事项，全程要简化程序，提高效率，跟踪服务，专人对接，特事特办，限时办结。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9.</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设立企业上市挂牌专项扶持资金。对企业上市挂牌分阶段的补助资金，因对以往年度财务指标进行审计调账需补缴的增值税，所得税等相关税收的地方留成部分的全额奖励资金，上市公司融资的奖励资金等，均从企业上市挂牌专项扶持资金中列支。</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   </w:t>
      </w: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10.</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本意见的各项优惠、扶持按照从高不重复原则适用。企业获得首次扶持资金后，除因受国家政策调整变化不能正常推进外，若</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2</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年内新三板或场外未成功挂牌，</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3</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年内境内</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IPO</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未成功上市，企业应退还已享受的扶持资金及获减免的各类费用。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11.</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从最晚一次享受政策扶持算起</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5</w:t>
      </w:r>
      <w:r>
        <w:rPr>
          <w:rFonts w:hint="default" w:ascii="仿宋_GB2312" w:hAnsi="Calibri" w:eastAsia="仿宋_GB2312" w:cs="仿宋_GB2312"/>
          <w:i w:val="0"/>
          <w:caps w:val="0"/>
          <w:color w:val="333333"/>
          <w:spacing w:val="0"/>
          <w:kern w:val="0"/>
          <w:sz w:val="32"/>
          <w:szCs w:val="32"/>
          <w:bdr w:val="none" w:color="auto" w:sz="0" w:space="0"/>
          <w:shd w:val="clear" w:fill="FFFFFF"/>
          <w:lang w:val="en-US" w:eastAsia="zh-CN" w:bidi="ar"/>
        </w:rPr>
        <w:t>年内，企业不得弱化在我县公司实际业务运作或迁移到我县外发展，否则全额收回企业在我县已享受的关于扶持企业上市的各类扶持资金及减免的各类费用。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84D4A"/>
    <w:rsid w:val="00327C03"/>
    <w:rsid w:val="0BC00AA6"/>
    <w:rsid w:val="1AB34672"/>
    <w:rsid w:val="1FAF28EE"/>
    <w:rsid w:val="229D59AD"/>
    <w:rsid w:val="27B949A7"/>
    <w:rsid w:val="2A350CD5"/>
    <w:rsid w:val="2AB6568C"/>
    <w:rsid w:val="2E0E575E"/>
    <w:rsid w:val="546C40E6"/>
    <w:rsid w:val="5B201742"/>
    <w:rsid w:val="5D7B3E6B"/>
    <w:rsid w:val="61C84D4A"/>
    <w:rsid w:val="6B506498"/>
    <w:rsid w:val="6D535020"/>
    <w:rsid w:val="7BC23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2018-06-06T04:57:00Z</dcterms:created>
  <dc:creator>栾晓琴</dc:creator>
  <cp:lastModifiedBy>栾晓琴</cp:lastModifiedBy>
  <dcterms:modified xsi:type="dcterms:W3CDTF">2018-06-06T06:19:05Z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