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0" w:type="dxa"/>
        <w:shd w:val="clear" w:color="auto" w:fill="FFFFFF"/>
        <w:tblCellMar>
          <w:left w:w="0" w:type="dxa"/>
          <w:right w:w="0" w:type="dxa"/>
        </w:tblCellMar>
        <w:tblLook w:val="04A0" w:firstRow="1" w:lastRow="0" w:firstColumn="1" w:lastColumn="0" w:noHBand="0" w:noVBand="1"/>
      </w:tblPr>
      <w:tblGrid>
        <w:gridCol w:w="8300"/>
      </w:tblGrid>
      <w:tr w:rsidR="00090682" w:rsidRPr="00090682" w14:paraId="1BBFEE5C" w14:textId="77777777" w:rsidTr="00090682">
        <w:trPr>
          <w:tblCellSpacing w:w="10" w:type="dxa"/>
        </w:trPr>
        <w:tc>
          <w:tcPr>
            <w:tcW w:w="0" w:type="auto"/>
            <w:shd w:val="clear" w:color="auto" w:fill="FFFFFF"/>
            <w:vAlign w:val="center"/>
            <w:hideMark/>
          </w:tcPr>
          <w:p w14:paraId="457A2A52" w14:textId="77777777" w:rsidR="00090682" w:rsidRPr="00090682" w:rsidRDefault="00090682" w:rsidP="00090682">
            <w:pPr>
              <w:widowControl/>
              <w:spacing w:before="100" w:beforeAutospacing="1" w:after="100" w:afterAutospacing="1" w:line="270" w:lineRule="atLeast"/>
              <w:jc w:val="left"/>
              <w:rPr>
                <w:rFonts w:ascii="STHeiti" w:eastAsia="STHeiti" w:hAnsi="STHeiti" w:cs="Times New Roman"/>
                <w:kern w:val="0"/>
                <w:sz w:val="21"/>
                <w:szCs w:val="21"/>
              </w:rPr>
            </w:pPr>
            <w:r w:rsidRPr="00090682">
              <w:rPr>
                <w:rFonts w:ascii="STHeiti" w:eastAsia="STHeiti" w:hAnsi="STHeiti" w:cs="Times New Roman" w:hint="eastAsia"/>
                <w:kern w:val="0"/>
                <w:sz w:val="21"/>
                <w:szCs w:val="21"/>
              </w:rPr>
              <w:t>各区农业与林业局（农林水利局）、财政局、自贸区管委会、火炬管委会、财政金融办：</w:t>
            </w:r>
          </w:p>
          <w:p w14:paraId="7AB66015"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经市政府同意，现将《厦门市农业产业化市级重点农业龙头企业认定和运行监测管理办法》印发你们，请认真执行。</w:t>
            </w:r>
          </w:p>
          <w:p w14:paraId="4190ECBB"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附件：《厦门市农业产业化市级重点农业龙头企业认定和运行监测管理办法》</w:t>
            </w:r>
          </w:p>
          <w:p w14:paraId="6FD6995F"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 xml:space="preserve">　　　　　　　　　　　　　　　　　　　　　　厦门市农业局　　　厦门市市政园林局</w:t>
            </w:r>
          </w:p>
          <w:p w14:paraId="16C6D0BE"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 xml:space="preserve">　　　　　　　　　　　　　　　　　　　　　　厦门市海洋与渔业局　　　厦门市财政局</w:t>
            </w:r>
          </w:p>
          <w:p w14:paraId="6442CCFB"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 xml:space="preserve">　　　　　　　　　　　　　　　　　　　　　　　　　　　　　2016年9月12日</w:t>
            </w:r>
          </w:p>
          <w:p w14:paraId="71BEAFB8"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（此件主动公开）</w:t>
            </w:r>
          </w:p>
          <w:p w14:paraId="3B680D52" w14:textId="77777777" w:rsidR="00090682" w:rsidRPr="00090682" w:rsidRDefault="00090682" w:rsidP="00090682">
            <w:pPr>
              <w:widowControl/>
              <w:spacing w:before="100" w:beforeAutospacing="1" w:after="100" w:afterAutospacing="1" w:line="270" w:lineRule="atLeast"/>
              <w:jc w:val="center"/>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厦门市农业产业化市级重点龙头企业</w:t>
            </w:r>
          </w:p>
          <w:p w14:paraId="21D3D6C9" w14:textId="77777777" w:rsidR="00090682" w:rsidRPr="00090682" w:rsidRDefault="00090682" w:rsidP="00090682">
            <w:pPr>
              <w:widowControl/>
              <w:spacing w:before="100" w:beforeAutospacing="1" w:after="100" w:afterAutospacing="1" w:line="270" w:lineRule="atLeast"/>
              <w:jc w:val="center"/>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认定和运行监测管理办法</w:t>
            </w:r>
          </w:p>
          <w:p w14:paraId="56E3A83F"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根据农业部等八部委关于《农业产业化国家重点龙头企业认定和运行监测管理办法》（农经发〔2010〕11号）和《福建省第八轮农业产业化省级重点龙头企业认定办法》的通知 （闽农产〔2015〕253号）精神，为进一步规范农业产业化市级重点龙头企业的认定和运行监测工作，特制定本办法。</w:t>
            </w:r>
          </w:p>
          <w:p w14:paraId="76BA60CF"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一、认定原则</w:t>
            </w:r>
          </w:p>
          <w:p w14:paraId="6720E2ED"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（一）公开公平公正。评审工作实行行业主管部门审核，征求相关部门意见，公开公平公正，接受社会监督。</w:t>
            </w:r>
          </w:p>
          <w:p w14:paraId="73AE9681"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（二）突出重点。对种苗（种子）企业给予重点支持，对带动本地农民作用明显的农产品加工企业给予倾斜支持。</w:t>
            </w:r>
          </w:p>
          <w:p w14:paraId="0BD0CF19"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（三）精简高效。国家级和省级重点龙头企业经自愿申请可直接认定为市级重点龙头企业，上轮市级重点龙头企业经监测合格的保留资格，简化新申报企业申报材料。</w:t>
            </w:r>
          </w:p>
          <w:p w14:paraId="64A5ABDA"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二、申报条件</w:t>
            </w:r>
          </w:p>
          <w:p w14:paraId="42BEA5C2"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（一）组织形式。申报企业必须是在我市行政区域内依法设立的，具有独立法人资格且正常经营2年以上的农产品生产、加工、流通类企业。</w:t>
            </w:r>
          </w:p>
          <w:p w14:paraId="26E9DBF8"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（二）经营主业。企业以农产品生产、加工、流通为主业，经营的农产品占总销售收入的70％以上。</w:t>
            </w:r>
          </w:p>
          <w:p w14:paraId="74A8806C"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lastRenderedPageBreak/>
              <w:t>（三）经营规模。企业上年固定资产、销售收入达到规定标准（各行业具体申报标准详见附表1）。</w:t>
            </w:r>
          </w:p>
          <w:p w14:paraId="7F53AC70"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（四）守法诚信。企业守法经营，信用良好，无违法违规和违纪行为，近二年内未发生重大安全生产事故、重大环境污染事故和重大农产品质量安全问题。</w:t>
            </w:r>
          </w:p>
          <w:p w14:paraId="480B329B"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（五）带动作用。在本市内建立农产品生产基地，解决本地农民就业，收购本地农户生产的农产品。</w:t>
            </w:r>
          </w:p>
          <w:p w14:paraId="70A15021"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六）质量品牌。企业实行标准化生产管理，生产食用农产品（水产品）的企业纳入市级农产品（水产品）质量安全可追溯管理体系。企业积极争创GAP、ISO、HACCP国际国内标准体系认证、出口产品注册、各级名牌（商标）认定、无公害农产品和绿色食品认证等。</w:t>
            </w:r>
          </w:p>
          <w:p w14:paraId="778BEA6F"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三、申报材料</w:t>
            </w:r>
          </w:p>
          <w:p w14:paraId="4DADAC9E"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（一）国家级、省级龙头企业：</w:t>
            </w:r>
          </w:p>
          <w:p w14:paraId="1AC412D3"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企业申报情况表（见附表2）。</w:t>
            </w:r>
          </w:p>
          <w:p w14:paraId="6F12F1EE"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（二）上轮市级重点龙头企业：</w:t>
            </w:r>
          </w:p>
          <w:p w14:paraId="44D82A07"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1企业申报情况表（见附表2）；</w:t>
            </w:r>
          </w:p>
          <w:p w14:paraId="33D11E0B"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2.真实、有效、规范的企业财务报表。</w:t>
            </w:r>
          </w:p>
          <w:p w14:paraId="787A5B1E"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（三）新申报企业：</w:t>
            </w:r>
          </w:p>
          <w:p w14:paraId="090686E9"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1.企业简介（企业成立时间、主要经营内容、发展历程、组织结构、主要成就、发展前景等情况800字）；</w:t>
            </w:r>
          </w:p>
          <w:p w14:paraId="5A72599B"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2.企业申报情况表（见附表2）；</w:t>
            </w:r>
          </w:p>
          <w:p w14:paraId="6FE47BA7"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3.企业营业执照复印件；</w:t>
            </w:r>
          </w:p>
          <w:p w14:paraId="2B68A889"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4. 真实、有效、规范的企业财务报表；</w:t>
            </w:r>
          </w:p>
          <w:p w14:paraId="691654C7"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5. 企业在本市建立生产基地、解决本地农民就业、收购本地农户生产的农产品等相关合同、协议、证明材料。</w:t>
            </w:r>
          </w:p>
          <w:p w14:paraId="18BF3B4D"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四、申报程序</w:t>
            </w:r>
            <w:r w:rsidRPr="00090682">
              <w:rPr>
                <w:rFonts w:ascii="SimSun" w:eastAsia="SimSun" w:hAnsi="SimSun" w:cs="SimSun"/>
                <w:kern w:val="0"/>
                <w:sz w:val="21"/>
                <w:szCs w:val="21"/>
              </w:rPr>
              <w:t></w:t>
            </w:r>
          </w:p>
          <w:p w14:paraId="7B52A6C0"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（一）申报企业直接向注册登记所在区（管委会）的农业产业化工作主管部门提出申请。</w:t>
            </w:r>
          </w:p>
          <w:p w14:paraId="2CD41348"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（二）区（管委会）农业产业化工作主管部门对企业申报材料的真实性和申报资格进行核实，经征求区有关部门意见、报区政府（管委会）同意后，正式行文向市农业局推荐，并附审核意见和相关材料。</w:t>
            </w:r>
          </w:p>
          <w:p w14:paraId="5EF46AA0"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五、认定程序</w:t>
            </w:r>
          </w:p>
          <w:p w14:paraId="61AB622D"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由市农业局牵头，市财政局、市市政园林局、市海洋与渔业局、市粮食局等有关行业部门联合组成审核小组，负责农业产业化市级重点龙头企业审核工作。</w:t>
            </w:r>
          </w:p>
          <w:p w14:paraId="06E24153"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（一）审核小组对申报企业的固定资产、销售收入达标情况及相关附件材料完整、合规情况进行综合评审，出具审核意见。</w:t>
            </w:r>
          </w:p>
          <w:p w14:paraId="30F0D2FD"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（二）市农业局将申报企业有关情况征求市商务、市场监管、税务、环保、质监、安监、出入境检验检疫、人社、人行等部门意见。</w:t>
            </w:r>
          </w:p>
          <w:p w14:paraId="21DAF27A"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（三）审核小组根据部门反馈意见确定拟入选市级重点龙头企业名单，在“厦门三农网”公示7天。</w:t>
            </w:r>
          </w:p>
          <w:p w14:paraId="6794FF7F"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（四）对公示无异议的企业，由审核小组成员单位联文报请市政府批准公布。</w:t>
            </w:r>
          </w:p>
          <w:p w14:paraId="5A1A886C"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六、监测管理</w:t>
            </w:r>
          </w:p>
          <w:p w14:paraId="46F0768B"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（一）市级重点龙头企业有效期5年，实行日常监测和定期评价相结合，建立动态管理机制。</w:t>
            </w:r>
          </w:p>
          <w:p w14:paraId="12008E23"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二）日常监测工作由市农业局组织开展。市级重点龙头企业按照季度、年度通过“厦门市统计数据网上直报系统”报送企业运行情况表及其他相关信息。各区（管委会）农业产业化工作主管部门应明确专人负责，加强监测信息报送的督促和审核。动态监测结果作为定期监测评价的重要依据。</w:t>
            </w:r>
          </w:p>
          <w:p w14:paraId="3A598DD0"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（三）定期监测评价工作每2年开展一次，由市农业局牵头组织开展。监测评价合格的企业继续保留其市级重点龙头企业的资格；监测不合格者，报请市政府批准，取消其市级重点龙头企业资格。</w:t>
            </w:r>
          </w:p>
          <w:p w14:paraId="18A227C7"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（四）对生产假冒伪劣产品、偷税骗税、上市违规操作、发生重大环保、安全责任事故和重大农产品质量安全责任事件等违法违规行为的，取消其市级重点龙头企业资格。</w:t>
            </w:r>
          </w:p>
          <w:p w14:paraId="1FDCAE26"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（五）市级重点龙头企业更改企业名称，应由企业提出申请，并出具市场监督管理部门的营业执照等更名材料，经区（管委会）农业产业化工作主管部门复核后，报市农业局审核确认。</w:t>
            </w:r>
          </w:p>
          <w:p w14:paraId="7011ABC3"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（六）企业应如实提供有关材料，对弄虚作假的，一经查实，不得认定为市级重点龙头企业，已经认定的企业取消其市级重点龙头企业资格，并在3年内不得申报市级重点龙头企业。</w:t>
            </w:r>
          </w:p>
          <w:p w14:paraId="70F74E60"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（七）市级重点农业龙头企业享受市农业产业化相关优惠政策。</w:t>
            </w:r>
          </w:p>
          <w:p w14:paraId="5A86A080"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七、附    则</w:t>
            </w:r>
          </w:p>
          <w:p w14:paraId="79C8306E"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（一）新申报省级重点农业龙头企业原则上必须是市级重点农业龙头企业。</w:t>
            </w:r>
          </w:p>
          <w:p w14:paraId="0FF6D550"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（二）本办法由市农业局负责解释。</w:t>
            </w:r>
          </w:p>
          <w:p w14:paraId="0B622087"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（三）本办法自发布之日起施行。</w:t>
            </w:r>
          </w:p>
          <w:p w14:paraId="4E8692F0" w14:textId="77777777" w:rsidR="00090682" w:rsidRPr="00090682" w:rsidRDefault="00090682" w:rsidP="00090682">
            <w:pPr>
              <w:widowControl/>
              <w:spacing w:before="100" w:beforeAutospacing="1" w:after="100" w:afterAutospacing="1" w:line="270" w:lineRule="atLeast"/>
              <w:ind w:firstLine="480"/>
              <w:jc w:val="left"/>
              <w:rPr>
                <w:rFonts w:ascii="STHeiti" w:eastAsia="STHeiti" w:hAnsi="STHeiti" w:cs="Times New Roman" w:hint="eastAsia"/>
                <w:kern w:val="0"/>
                <w:sz w:val="21"/>
                <w:szCs w:val="21"/>
              </w:rPr>
            </w:pPr>
            <w:r w:rsidRPr="00090682">
              <w:rPr>
                <w:rFonts w:ascii="STHeiti" w:eastAsia="STHeiti" w:hAnsi="STHeiti" w:cs="Times New Roman" w:hint="eastAsia"/>
                <w:kern w:val="0"/>
                <w:sz w:val="21"/>
                <w:szCs w:val="21"/>
              </w:rPr>
              <w:t> 厦门市农业局　　　　2016年9月12日印发</w:t>
            </w:r>
          </w:p>
        </w:tc>
      </w:tr>
      <w:tr w:rsidR="00090682" w:rsidRPr="00090682" w14:paraId="745B6828" w14:textId="77777777" w:rsidTr="00090682">
        <w:trPr>
          <w:trHeight w:val="700"/>
          <w:tblCellSpacing w:w="10" w:type="dxa"/>
        </w:trPr>
        <w:tc>
          <w:tcPr>
            <w:tcW w:w="0" w:type="auto"/>
            <w:shd w:val="clear" w:color="auto" w:fill="FFFFFF"/>
            <w:vAlign w:val="center"/>
            <w:hideMark/>
          </w:tcPr>
          <w:p w14:paraId="2D280BDA" w14:textId="77777777" w:rsidR="00090682" w:rsidRPr="00090682" w:rsidRDefault="00090682" w:rsidP="00090682">
            <w:pPr>
              <w:widowControl/>
              <w:jc w:val="left"/>
              <w:rPr>
                <w:rFonts w:ascii="STHeiti" w:eastAsia="STHeiti" w:hAnsi="STHeiti" w:cs="Times New Roman" w:hint="eastAsia"/>
                <w:kern w:val="0"/>
                <w:sz w:val="21"/>
                <w:szCs w:val="21"/>
              </w:rPr>
            </w:pPr>
          </w:p>
        </w:tc>
      </w:tr>
      <w:tr w:rsidR="00090682" w:rsidRPr="00090682" w14:paraId="1D56DEEF" w14:textId="77777777" w:rsidTr="00090682">
        <w:trPr>
          <w:tblCellSpacing w:w="1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2459"/>
            </w:tblGrid>
            <w:tr w:rsidR="00090682" w:rsidRPr="00090682" w14:paraId="338EFDC4" w14:textId="77777777">
              <w:trPr>
                <w:tblCellSpacing w:w="0" w:type="dxa"/>
              </w:trPr>
              <w:tc>
                <w:tcPr>
                  <w:tcW w:w="0" w:type="auto"/>
                  <w:vAlign w:val="center"/>
                  <w:hideMark/>
                </w:tcPr>
                <w:p w14:paraId="71B7CF0C" w14:textId="77777777" w:rsidR="00090682" w:rsidRPr="00090682" w:rsidRDefault="00090682" w:rsidP="00090682">
                  <w:pPr>
                    <w:widowControl/>
                    <w:jc w:val="left"/>
                    <w:rPr>
                      <w:rFonts w:ascii="Times New Roman" w:eastAsia="Times New Roman" w:hAnsi="Times New Roman" w:cs="Times New Roman"/>
                      <w:kern w:val="0"/>
                      <w:sz w:val="18"/>
                      <w:szCs w:val="18"/>
                    </w:rPr>
                  </w:pPr>
                  <w:r w:rsidRPr="00090682">
                    <w:rPr>
                      <w:rFonts w:ascii="MS Mincho" w:eastAsia="MS Mincho" w:hAnsi="MS Mincho" w:cs="MS Mincho"/>
                      <w:kern w:val="0"/>
                      <w:sz w:val="18"/>
                      <w:szCs w:val="18"/>
                    </w:rPr>
                    <w:t>附件下</w:t>
                  </w:r>
                  <w:r w:rsidRPr="00090682">
                    <w:rPr>
                      <w:rFonts w:ascii="SimSun" w:eastAsia="SimSun" w:hAnsi="SimSun" w:cs="SimSun"/>
                      <w:kern w:val="0"/>
                      <w:sz w:val="18"/>
                      <w:szCs w:val="18"/>
                    </w:rPr>
                    <w:t>载</w:t>
                  </w:r>
                  <w:r w:rsidRPr="00090682">
                    <w:rPr>
                      <w:rFonts w:ascii="Times New Roman" w:eastAsia="Times New Roman" w:hAnsi="Times New Roman" w:cs="Times New Roman"/>
                      <w:kern w:val="0"/>
                      <w:sz w:val="18"/>
                      <w:szCs w:val="18"/>
                    </w:rPr>
                    <w:t>:</w:t>
                  </w:r>
                </w:p>
              </w:tc>
            </w:tr>
            <w:tr w:rsidR="00090682" w:rsidRPr="00090682" w14:paraId="126F9E71" w14:textId="77777777">
              <w:trPr>
                <w:tblCellSpacing w:w="0" w:type="dxa"/>
              </w:trPr>
              <w:tc>
                <w:tcPr>
                  <w:tcW w:w="0" w:type="auto"/>
                  <w:vAlign w:val="center"/>
                  <w:hideMark/>
                </w:tcPr>
                <w:p w14:paraId="0FAA0C2B" w14:textId="77777777" w:rsidR="00090682" w:rsidRPr="00090682" w:rsidRDefault="00090682" w:rsidP="00090682">
                  <w:pPr>
                    <w:widowControl/>
                    <w:jc w:val="left"/>
                    <w:rPr>
                      <w:rFonts w:ascii="Times New Roman" w:eastAsia="Times New Roman" w:hAnsi="Times New Roman" w:cs="Times New Roman"/>
                      <w:kern w:val="0"/>
                      <w:sz w:val="18"/>
                      <w:szCs w:val="18"/>
                    </w:rPr>
                  </w:pPr>
                  <w:r w:rsidRPr="00090682">
                    <w:rPr>
                      <w:rFonts w:ascii="Times New Roman" w:eastAsia="Times New Roman" w:hAnsi="Times New Roman" w:cs="Times New Roman"/>
                      <w:kern w:val="0"/>
                      <w:sz w:val="18"/>
                      <w:szCs w:val="18"/>
                    </w:rPr>
                    <w:t>  </w:t>
                  </w:r>
                </w:p>
                <w:p w14:paraId="09A1776F" w14:textId="77777777" w:rsidR="00090682" w:rsidRPr="00090682" w:rsidRDefault="00090682" w:rsidP="00090682">
                  <w:pPr>
                    <w:widowControl/>
                    <w:jc w:val="left"/>
                    <w:rPr>
                      <w:rFonts w:ascii="Times New Roman" w:eastAsia="Times New Roman" w:hAnsi="Times New Roman" w:cs="Times New Roman"/>
                      <w:kern w:val="0"/>
                      <w:sz w:val="18"/>
                      <w:szCs w:val="18"/>
                    </w:rPr>
                  </w:pPr>
                  <w:r w:rsidRPr="00090682">
                    <w:rPr>
                      <w:rFonts w:ascii="Times New Roman" w:eastAsia="Times New Roman" w:hAnsi="Symbol" w:cs="Times New Roman"/>
                      <w:kern w:val="0"/>
                      <w:sz w:val="18"/>
                      <w:szCs w:val="18"/>
                    </w:rPr>
                    <w:t></w:t>
                  </w:r>
                  <w:r w:rsidRPr="00090682">
                    <w:rPr>
                      <w:rFonts w:ascii="Times New Roman" w:eastAsia="Times New Roman" w:hAnsi="Times New Roman" w:cs="Times New Roman"/>
                      <w:kern w:val="0"/>
                      <w:sz w:val="18"/>
                      <w:szCs w:val="18"/>
                    </w:rPr>
                    <w:t xml:space="preserve">  </w:t>
                  </w:r>
                  <w:hyperlink r:id="rId4" w:history="1">
                    <w:r w:rsidRPr="00090682">
                      <w:rPr>
                        <w:rFonts w:ascii="MS Mincho" w:eastAsia="MS Mincho" w:hAnsi="MS Mincho" w:cs="MS Mincho"/>
                        <w:color w:val="242424"/>
                        <w:kern w:val="0"/>
                        <w:sz w:val="18"/>
                        <w:szCs w:val="18"/>
                      </w:rPr>
                      <w:t>厦</w:t>
                    </w:r>
                    <w:r w:rsidRPr="00090682">
                      <w:rPr>
                        <w:rFonts w:ascii="SimSun" w:eastAsia="SimSun" w:hAnsi="SimSun" w:cs="SimSun"/>
                        <w:color w:val="242424"/>
                        <w:kern w:val="0"/>
                        <w:sz w:val="18"/>
                        <w:szCs w:val="18"/>
                      </w:rPr>
                      <w:t>农</w:t>
                    </w:r>
                    <w:r w:rsidRPr="00090682">
                      <w:rPr>
                        <w:rFonts w:ascii="MS Mincho" w:eastAsia="MS Mincho" w:hAnsi="MS Mincho" w:cs="MS Mincho"/>
                        <w:color w:val="242424"/>
                        <w:kern w:val="0"/>
                        <w:sz w:val="18"/>
                        <w:szCs w:val="18"/>
                      </w:rPr>
                      <w:t>（</w:t>
                    </w:r>
                    <w:r w:rsidRPr="00090682">
                      <w:rPr>
                        <w:rFonts w:ascii="Times New Roman" w:eastAsia="Times New Roman" w:hAnsi="Times New Roman" w:cs="Times New Roman"/>
                        <w:color w:val="242424"/>
                        <w:kern w:val="0"/>
                        <w:sz w:val="18"/>
                        <w:szCs w:val="18"/>
                      </w:rPr>
                      <w:t>2016</w:t>
                    </w:r>
                    <w:r w:rsidRPr="00090682">
                      <w:rPr>
                        <w:rFonts w:ascii="MS Mincho" w:eastAsia="MS Mincho" w:hAnsi="MS Mincho" w:cs="MS Mincho"/>
                        <w:color w:val="242424"/>
                        <w:kern w:val="0"/>
                        <w:sz w:val="18"/>
                        <w:szCs w:val="18"/>
                      </w:rPr>
                      <w:t>）</w:t>
                    </w:r>
                    <w:r w:rsidRPr="00090682">
                      <w:rPr>
                        <w:rFonts w:ascii="Times New Roman" w:eastAsia="Times New Roman" w:hAnsi="Times New Roman" w:cs="Times New Roman"/>
                        <w:color w:val="242424"/>
                        <w:kern w:val="0"/>
                        <w:sz w:val="18"/>
                        <w:szCs w:val="18"/>
                      </w:rPr>
                      <w:t>178</w:t>
                    </w:r>
                    <w:r w:rsidRPr="00090682">
                      <w:rPr>
                        <w:rFonts w:ascii="MS Mincho" w:eastAsia="MS Mincho" w:hAnsi="MS Mincho" w:cs="MS Mincho"/>
                        <w:color w:val="242424"/>
                        <w:kern w:val="0"/>
                        <w:sz w:val="18"/>
                        <w:szCs w:val="18"/>
                      </w:rPr>
                      <w:t>号附件</w:t>
                    </w:r>
                    <w:r w:rsidRPr="00090682">
                      <w:rPr>
                        <w:rFonts w:ascii="Times New Roman" w:eastAsia="Times New Roman" w:hAnsi="Times New Roman" w:cs="Times New Roman"/>
                        <w:color w:val="242424"/>
                        <w:kern w:val="0"/>
                        <w:sz w:val="18"/>
                        <w:szCs w:val="18"/>
                      </w:rPr>
                      <w:t>.doc</w:t>
                    </w:r>
                  </w:hyperlink>
                </w:p>
              </w:tc>
            </w:tr>
          </w:tbl>
          <w:p w14:paraId="5F1E029B" w14:textId="77777777" w:rsidR="00090682" w:rsidRPr="00090682" w:rsidRDefault="00090682" w:rsidP="00090682">
            <w:pPr>
              <w:widowControl/>
              <w:jc w:val="left"/>
              <w:rPr>
                <w:rFonts w:ascii="STHeiti" w:eastAsia="STHeiti" w:hAnsi="STHeiti" w:cs="Times New Roman"/>
                <w:kern w:val="0"/>
                <w:sz w:val="18"/>
                <w:szCs w:val="18"/>
              </w:rPr>
            </w:pPr>
          </w:p>
        </w:tc>
      </w:tr>
    </w:tbl>
    <w:p w14:paraId="28B33C82" w14:textId="77777777" w:rsidR="00B87A50" w:rsidRPr="00090682" w:rsidRDefault="00090682">
      <w:r w:rsidRPr="00090682">
        <w:t>http://www.xm.gov.cn/gfxwj/szfbm/nyj/201611/t20161108_1376226.htm</w:t>
      </w:r>
      <w:bookmarkStart w:id="0" w:name="_GoBack"/>
      <w:bookmarkEnd w:id="0"/>
    </w:p>
    <w:sectPr w:rsidR="00B87A50" w:rsidRPr="00090682"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STHeiti">
    <w:panose1 w:val="02010600040101010101"/>
    <w:charset w:val="86"/>
    <w:family w:val="auto"/>
    <w:pitch w:val="variable"/>
    <w:sig w:usb0="00000287" w:usb1="080F0000" w:usb2="00000010" w:usb3="00000000" w:csb0="0004009F" w:csb1="00000000"/>
  </w:font>
  <w:font w:name="SimSun">
    <w:panose1 w:val="02010600030101010101"/>
    <w:charset w:val="86"/>
    <w:family w:val="auto"/>
    <w:pitch w:val="variable"/>
    <w:sig w:usb0="00000003" w:usb1="080E0000" w:usb2="00000010" w:usb3="00000000" w:csb0="00040001" w:csb1="00000000"/>
  </w:font>
  <w:font w:name="MS Mincho">
    <w:panose1 w:val="02020609040205080304"/>
    <w:charset w:val="80"/>
    <w:family w:val="auto"/>
    <w:pitch w:val="variable"/>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82"/>
    <w:rsid w:val="00090682"/>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713F0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0682"/>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semiHidden/>
    <w:unhideWhenUsed/>
    <w:rsid w:val="000906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571328">
      <w:bodyDiv w:val="1"/>
      <w:marLeft w:val="0"/>
      <w:marRight w:val="0"/>
      <w:marTop w:val="0"/>
      <w:marBottom w:val="0"/>
      <w:divBdr>
        <w:top w:val="none" w:sz="0" w:space="0" w:color="auto"/>
        <w:left w:val="none" w:sz="0" w:space="0" w:color="auto"/>
        <w:bottom w:val="none" w:sz="0" w:space="0" w:color="auto"/>
        <w:right w:val="none" w:sz="0" w:space="0" w:color="auto"/>
      </w:divBdr>
      <w:divsChild>
        <w:div w:id="1927615202">
          <w:marLeft w:val="0"/>
          <w:marRight w:val="0"/>
          <w:marTop w:val="0"/>
          <w:marBottom w:val="0"/>
          <w:divBdr>
            <w:top w:val="none" w:sz="0" w:space="0" w:color="auto"/>
            <w:left w:val="none" w:sz="0" w:space="0" w:color="auto"/>
            <w:bottom w:val="none" w:sz="0" w:space="0" w:color="auto"/>
            <w:right w:val="none" w:sz="0" w:space="0" w:color="auto"/>
          </w:divBdr>
          <w:divsChild>
            <w:div w:id="380136512">
              <w:marLeft w:val="0"/>
              <w:marRight w:val="0"/>
              <w:marTop w:val="0"/>
              <w:marBottom w:val="0"/>
              <w:divBdr>
                <w:top w:val="none" w:sz="0" w:space="0" w:color="auto"/>
                <w:left w:val="none" w:sz="0" w:space="0" w:color="auto"/>
                <w:bottom w:val="none" w:sz="0" w:space="0" w:color="auto"/>
                <w:right w:val="none" w:sz="0" w:space="0" w:color="auto"/>
              </w:divBdr>
              <w:divsChild>
                <w:div w:id="18517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xm.gov.cn/gfxwj/szfbm/nyj/201611/P020161108422908420216.doc"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370</Words>
  <Characters>2114</Characters>
  <Application>Microsoft Macintosh Word</Application>
  <DocSecurity>0</DocSecurity>
  <Lines>17</Lines>
  <Paragraphs>4</Paragraphs>
  <ScaleCrop>false</ScaleCrop>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2018-06-10T14:43:00Z</dcterms:created>
  <dcterms:modified xsi:type="dcterms:W3CDTF">2018-06-10T14:44:00Z</dcterms:modified>
</cp:coreProperties>
</file>