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5D7" w:rsidRPr="002245D7" w:rsidRDefault="002245D7" w:rsidP="002245D7">
      <w:pPr>
        <w:widowControl/>
        <w:spacing w:line="450" w:lineRule="atLeast"/>
        <w:jc w:val="center"/>
        <w:rPr>
          <w:rFonts w:ascii="宋体" w:eastAsia="宋体" w:hAnsi="宋体" w:cs="宋体"/>
          <w:color w:val="454545"/>
          <w:kern w:val="0"/>
          <w:sz w:val="24"/>
          <w:szCs w:val="24"/>
          <w:lang w:val="en"/>
        </w:rPr>
      </w:pPr>
      <w:r w:rsidRPr="002245D7">
        <w:rPr>
          <w:rFonts w:ascii="方正小标宋简体" w:eastAsia="方正小标宋简体" w:hAnsi="宋体" w:cs="宋体" w:hint="eastAsia"/>
          <w:color w:val="454545"/>
          <w:kern w:val="0"/>
          <w:sz w:val="44"/>
          <w:szCs w:val="44"/>
          <w:lang w:val="en"/>
        </w:rPr>
        <w:t>关于支持民营医院发展的若干意见（暂行）</w:t>
      </w:r>
    </w:p>
    <w:p w:rsidR="002245D7" w:rsidRPr="002245D7" w:rsidRDefault="002245D7" w:rsidP="002245D7">
      <w:pPr>
        <w:widowControl/>
        <w:spacing w:line="450" w:lineRule="atLeast"/>
        <w:jc w:val="center"/>
        <w:rPr>
          <w:rFonts w:ascii="宋体" w:eastAsia="宋体" w:hAnsi="宋体" w:cs="宋体"/>
          <w:color w:val="454545"/>
          <w:kern w:val="0"/>
          <w:sz w:val="24"/>
          <w:szCs w:val="24"/>
          <w:lang w:val="en"/>
        </w:rPr>
      </w:pPr>
      <w:r w:rsidRPr="002245D7">
        <w:rPr>
          <w:rFonts w:ascii="宋体" w:eastAsia="宋体" w:hAnsi="宋体" w:cs="宋体"/>
          <w:color w:val="454545"/>
          <w:kern w:val="0"/>
          <w:sz w:val="24"/>
          <w:szCs w:val="24"/>
          <w:lang w:val="en"/>
        </w:rPr>
        <w:t> </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为贯彻落实《国务院办公厅转发发展改革委卫生部等部门关于进一步鼓励和引导社会资本举办医疗机构意见的通知》（国办发〔</w:t>
      </w:r>
      <w:r w:rsidRPr="002245D7">
        <w:rPr>
          <w:rFonts w:ascii="宋体" w:eastAsia="宋体" w:hAnsi="宋体" w:cs="宋体"/>
          <w:color w:val="454545"/>
          <w:kern w:val="0"/>
          <w:sz w:val="32"/>
          <w:szCs w:val="32"/>
          <w:lang w:val="en"/>
        </w:rPr>
        <w:t>2010</w:t>
      </w:r>
      <w:r w:rsidRPr="002245D7">
        <w:rPr>
          <w:rFonts w:ascii="仿宋_GB2312" w:eastAsia="仿宋_GB2312" w:hAnsi="宋体" w:cs="宋体" w:hint="eastAsia"/>
          <w:color w:val="454545"/>
          <w:kern w:val="0"/>
          <w:sz w:val="32"/>
          <w:szCs w:val="32"/>
          <w:lang w:val="en"/>
        </w:rPr>
        <w:t>〕</w:t>
      </w:r>
      <w:r w:rsidRPr="002245D7">
        <w:rPr>
          <w:rFonts w:ascii="宋体" w:eastAsia="宋体" w:hAnsi="宋体" w:cs="宋体"/>
          <w:color w:val="454545"/>
          <w:kern w:val="0"/>
          <w:sz w:val="32"/>
          <w:szCs w:val="32"/>
          <w:lang w:val="en"/>
        </w:rPr>
        <w:t>58</w:t>
      </w:r>
      <w:r w:rsidRPr="002245D7">
        <w:rPr>
          <w:rFonts w:ascii="仿宋_GB2312" w:eastAsia="仿宋_GB2312" w:hAnsi="宋体" w:cs="宋体" w:hint="eastAsia"/>
          <w:color w:val="454545"/>
          <w:kern w:val="0"/>
          <w:sz w:val="32"/>
          <w:szCs w:val="32"/>
          <w:lang w:val="en"/>
        </w:rPr>
        <w:t>号）和《安徽省发展和改革委员会等部门关于进一步和引导社会资本举办医疗机构的意见》（</w:t>
      </w:r>
      <w:proofErr w:type="gramStart"/>
      <w:r w:rsidRPr="002245D7">
        <w:rPr>
          <w:rFonts w:ascii="仿宋_GB2312" w:eastAsia="仿宋_GB2312" w:hAnsi="宋体" w:cs="宋体" w:hint="eastAsia"/>
          <w:color w:val="454545"/>
          <w:kern w:val="0"/>
          <w:sz w:val="32"/>
          <w:szCs w:val="32"/>
          <w:lang w:val="en"/>
        </w:rPr>
        <w:t>皖发改社会</w:t>
      </w:r>
      <w:proofErr w:type="gramEnd"/>
      <w:r w:rsidRPr="002245D7">
        <w:rPr>
          <w:rFonts w:ascii="仿宋_GB2312" w:eastAsia="仿宋_GB2312" w:hAnsi="宋体" w:cs="宋体" w:hint="eastAsia"/>
          <w:color w:val="454545"/>
          <w:kern w:val="0"/>
          <w:sz w:val="32"/>
          <w:szCs w:val="32"/>
          <w:lang w:val="en"/>
        </w:rPr>
        <w:t>〔</w:t>
      </w:r>
      <w:r w:rsidRPr="002245D7">
        <w:rPr>
          <w:rFonts w:ascii="宋体" w:eastAsia="宋体" w:hAnsi="宋体" w:cs="宋体"/>
          <w:color w:val="454545"/>
          <w:kern w:val="0"/>
          <w:sz w:val="32"/>
          <w:szCs w:val="32"/>
          <w:lang w:val="en"/>
        </w:rPr>
        <w:t>2013</w:t>
      </w:r>
      <w:r w:rsidRPr="002245D7">
        <w:rPr>
          <w:rFonts w:ascii="仿宋_GB2312" w:eastAsia="仿宋_GB2312" w:hAnsi="宋体" w:cs="宋体" w:hint="eastAsia"/>
          <w:color w:val="454545"/>
          <w:kern w:val="0"/>
          <w:sz w:val="32"/>
          <w:szCs w:val="32"/>
          <w:lang w:val="en"/>
        </w:rPr>
        <w:t>〕</w:t>
      </w:r>
      <w:r w:rsidRPr="002245D7">
        <w:rPr>
          <w:rFonts w:ascii="宋体" w:eastAsia="宋体" w:hAnsi="宋体" w:cs="宋体"/>
          <w:color w:val="454545"/>
          <w:kern w:val="0"/>
          <w:sz w:val="32"/>
          <w:szCs w:val="32"/>
          <w:lang w:val="en"/>
        </w:rPr>
        <w:t>45</w:t>
      </w:r>
      <w:r w:rsidRPr="002245D7">
        <w:rPr>
          <w:rFonts w:ascii="仿宋_GB2312" w:eastAsia="仿宋_GB2312" w:hAnsi="宋体" w:cs="宋体" w:hint="eastAsia"/>
          <w:color w:val="454545"/>
          <w:kern w:val="0"/>
          <w:sz w:val="32"/>
          <w:szCs w:val="32"/>
          <w:lang w:val="en"/>
        </w:rPr>
        <w:t>号）等文件精神，根据《马鞍山市促进现代服务业发展若干政策》（</w:t>
      </w:r>
      <w:proofErr w:type="gramStart"/>
      <w:r w:rsidRPr="002245D7">
        <w:rPr>
          <w:rFonts w:ascii="仿宋_GB2312" w:eastAsia="仿宋_GB2312" w:hAnsi="宋体" w:cs="宋体" w:hint="eastAsia"/>
          <w:color w:val="454545"/>
          <w:kern w:val="0"/>
          <w:sz w:val="32"/>
          <w:szCs w:val="32"/>
          <w:lang w:val="en"/>
        </w:rPr>
        <w:t>马财〔</w:t>
      </w:r>
      <w:r w:rsidRPr="002245D7">
        <w:rPr>
          <w:rFonts w:ascii="宋体" w:eastAsia="宋体" w:hAnsi="宋体" w:cs="宋体"/>
          <w:color w:val="454545"/>
          <w:kern w:val="0"/>
          <w:sz w:val="32"/>
          <w:szCs w:val="32"/>
          <w:lang w:val="en"/>
        </w:rPr>
        <w:t>2014</w:t>
      </w:r>
      <w:r w:rsidRPr="002245D7">
        <w:rPr>
          <w:rFonts w:ascii="仿宋_GB2312" w:eastAsia="仿宋_GB2312" w:hAnsi="宋体" w:cs="宋体" w:hint="eastAsia"/>
          <w:color w:val="454545"/>
          <w:kern w:val="0"/>
          <w:sz w:val="32"/>
          <w:szCs w:val="32"/>
          <w:lang w:val="en"/>
        </w:rPr>
        <w:t>〕</w:t>
      </w:r>
      <w:proofErr w:type="gramEnd"/>
      <w:r w:rsidRPr="002245D7">
        <w:rPr>
          <w:rFonts w:ascii="宋体" w:eastAsia="宋体" w:hAnsi="宋体" w:cs="宋体"/>
          <w:color w:val="454545"/>
          <w:kern w:val="0"/>
          <w:sz w:val="32"/>
          <w:szCs w:val="32"/>
          <w:lang w:val="en"/>
        </w:rPr>
        <w:t>230</w:t>
      </w:r>
      <w:r w:rsidRPr="002245D7">
        <w:rPr>
          <w:rFonts w:ascii="仿宋_GB2312" w:eastAsia="仿宋_GB2312" w:hAnsi="宋体" w:cs="宋体" w:hint="eastAsia"/>
          <w:color w:val="454545"/>
          <w:kern w:val="0"/>
          <w:sz w:val="32"/>
          <w:szCs w:val="32"/>
          <w:lang w:val="en"/>
        </w:rPr>
        <w:t>号）有关要求，为促进民营医院快速健康发展，加快形成多元化办医格局，更好地满足人民群众不断增长的多层次医疗服务需求，结合博</w:t>
      </w:r>
      <w:proofErr w:type="gramStart"/>
      <w:r w:rsidRPr="002245D7">
        <w:rPr>
          <w:rFonts w:ascii="仿宋_GB2312" w:eastAsia="仿宋_GB2312" w:hAnsi="宋体" w:cs="宋体" w:hint="eastAsia"/>
          <w:color w:val="454545"/>
          <w:kern w:val="0"/>
          <w:sz w:val="32"/>
          <w:szCs w:val="32"/>
          <w:lang w:val="en"/>
        </w:rPr>
        <w:t>望医疗</w:t>
      </w:r>
      <w:proofErr w:type="gramEnd"/>
      <w:r w:rsidRPr="002245D7">
        <w:rPr>
          <w:rFonts w:ascii="仿宋_GB2312" w:eastAsia="仿宋_GB2312" w:hAnsi="宋体" w:cs="宋体" w:hint="eastAsia"/>
          <w:color w:val="454545"/>
          <w:kern w:val="0"/>
          <w:sz w:val="32"/>
          <w:szCs w:val="32"/>
          <w:lang w:val="en"/>
        </w:rPr>
        <w:t>卫生工作实际，现制定以下意见：</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黑体" w:eastAsia="黑体" w:hAnsi="黑体" w:cs="宋体" w:hint="eastAsia"/>
          <w:color w:val="454545"/>
          <w:kern w:val="0"/>
          <w:sz w:val="32"/>
          <w:szCs w:val="32"/>
          <w:lang w:val="en"/>
        </w:rPr>
        <w:t>一、合理设置规划，适度开放医疗服务市场</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有关部门要结合</w:t>
      </w:r>
      <w:proofErr w:type="gramStart"/>
      <w:r w:rsidRPr="002245D7">
        <w:rPr>
          <w:rFonts w:ascii="仿宋_GB2312" w:eastAsia="仿宋_GB2312" w:hAnsi="宋体" w:cs="宋体" w:hint="eastAsia"/>
          <w:color w:val="454545"/>
          <w:kern w:val="0"/>
          <w:sz w:val="32"/>
          <w:szCs w:val="32"/>
          <w:lang w:val="en"/>
        </w:rPr>
        <w:t>博望区医疗</w:t>
      </w:r>
      <w:proofErr w:type="gramEnd"/>
      <w:r w:rsidRPr="002245D7">
        <w:rPr>
          <w:rFonts w:ascii="仿宋_GB2312" w:eastAsia="仿宋_GB2312" w:hAnsi="宋体" w:cs="宋体" w:hint="eastAsia"/>
          <w:color w:val="454545"/>
          <w:kern w:val="0"/>
          <w:sz w:val="32"/>
          <w:szCs w:val="32"/>
          <w:lang w:val="en"/>
        </w:rPr>
        <w:t>卫生机构现状，合理制定区域卫生资源规划和医疗机构设置规划，给民营医院的健康发展留有一定的空间。民间资本可在区域卫生规划范围内自主申办营利性或非营利性医疗机构。各镇和有关部门应编制社会办医项目指南，鼓励和引导民间资本举办医疗机构。新增和调整卫生资源时，符合政府支持方向的，优先考虑由民间资本举办。</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lastRenderedPageBreak/>
        <w:t>对特色明显、医疗技术优势突出的老年相关疾病专科和产科、儿科、骨科、康复等专科医院，要放开医疗服务市场，大力扶持发展。探索民间资本以股份制、混合所有制等多种形式参与公立医疗机构改制重组，鼓励公立医疗机构与民营医院开展托管、公办民营、民办公助等多种形式的医疗合作。在医疗资源配置相对薄弱的偏远区域，支持有资质人员依法开办个体诊所和社区卫生服务机构。将民营</w:t>
      </w:r>
      <w:proofErr w:type="gramStart"/>
      <w:r w:rsidRPr="002245D7">
        <w:rPr>
          <w:rFonts w:ascii="仿宋_GB2312" w:eastAsia="仿宋_GB2312" w:hAnsi="宋体" w:cs="宋体" w:hint="eastAsia"/>
          <w:color w:val="454545"/>
          <w:kern w:val="0"/>
          <w:sz w:val="32"/>
          <w:szCs w:val="32"/>
          <w:lang w:val="en"/>
        </w:rPr>
        <w:t>院发展</w:t>
      </w:r>
      <w:proofErr w:type="gramEnd"/>
      <w:r w:rsidRPr="002245D7">
        <w:rPr>
          <w:rFonts w:ascii="仿宋_GB2312" w:eastAsia="仿宋_GB2312" w:hAnsi="宋体" w:cs="宋体" w:hint="eastAsia"/>
          <w:color w:val="454545"/>
          <w:kern w:val="0"/>
          <w:sz w:val="32"/>
          <w:szCs w:val="32"/>
          <w:lang w:val="en"/>
        </w:rPr>
        <w:t>纳入政府考核体系，力争到</w:t>
      </w:r>
      <w:r w:rsidRPr="002245D7">
        <w:rPr>
          <w:rFonts w:ascii="宋体" w:eastAsia="宋体" w:hAnsi="宋体" w:cs="宋体"/>
          <w:color w:val="454545"/>
          <w:kern w:val="0"/>
          <w:sz w:val="32"/>
          <w:szCs w:val="32"/>
          <w:lang w:val="en"/>
        </w:rPr>
        <w:t>2020</w:t>
      </w:r>
      <w:r w:rsidRPr="002245D7">
        <w:rPr>
          <w:rFonts w:ascii="仿宋_GB2312" w:eastAsia="仿宋_GB2312" w:hAnsi="宋体" w:cs="宋体" w:hint="eastAsia"/>
          <w:color w:val="454545"/>
          <w:kern w:val="0"/>
          <w:sz w:val="32"/>
          <w:szCs w:val="32"/>
          <w:lang w:val="en"/>
        </w:rPr>
        <w:t>年底全区民营医院床位数占比在县区排位中处于前列。</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黑体" w:eastAsia="黑体" w:hAnsi="黑体" w:cs="宋体" w:hint="eastAsia"/>
          <w:color w:val="454545"/>
          <w:kern w:val="0"/>
          <w:sz w:val="32"/>
          <w:szCs w:val="32"/>
          <w:lang w:val="en"/>
        </w:rPr>
        <w:t>二、优化用人环境，支持民营医院人才队伍建设</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对符合专业技术职务任职条件的民营医院工作人员，可参照公立医疗机构同类人员标准参加社会保险。积极鼓励民营医院为医务人员建立职业年金等补充保险制度，进一步提高其退休待遇。鼓励公立医疗机构专业人员按照规定的程序到符合政府优先支持方向的民营医院多点执业。民营医院的卫生技术人员实行全员人事代理或劳务派遣制，区政府所属的人才服务机构应切实为其提供相关服务。</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将民营医院卫生专业技术人员纳入全区医疗卫生职称评定、人才选拔和培训体系，在专业技术资格评定、继续教育、全科医生培养和住院医师规范化培训、职业技能培训等服务和管理政策方面与公立医疗机构一视同仁。鼓励</w:t>
      </w:r>
      <w:r w:rsidRPr="002245D7">
        <w:rPr>
          <w:rFonts w:ascii="仿宋_GB2312" w:eastAsia="仿宋_GB2312" w:hAnsi="宋体" w:cs="宋体" w:hint="eastAsia"/>
          <w:color w:val="454545"/>
          <w:kern w:val="0"/>
          <w:sz w:val="32"/>
          <w:szCs w:val="32"/>
          <w:lang w:val="en"/>
        </w:rPr>
        <w:lastRenderedPageBreak/>
        <w:t>民营医院委托大中专院校进行定向人才培养、培训，支持民营医院开展高校毕业实践基地建设。各行业学会、协会、质量控制组织以及医疗机构评审专家组等组织，应当吸纳民营医院中的相关专家代表参加，确保民营医院占有与其在医疗服务体系中的地位相适应的比例，保障民营医院医务人员享有承担与其学术水平和专业能力相适应的领导职务机会。</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黑体" w:eastAsia="黑体" w:hAnsi="黑体" w:cs="宋体" w:hint="eastAsia"/>
          <w:color w:val="454545"/>
          <w:kern w:val="0"/>
          <w:sz w:val="32"/>
          <w:szCs w:val="32"/>
          <w:lang w:val="en"/>
        </w:rPr>
        <w:t>三、参与购买服务，纳入社会保障定点范围</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落实政府对医疗卫生等社会事业</w:t>
      </w:r>
      <w:r w:rsidRPr="002245D7">
        <w:rPr>
          <w:rFonts w:ascii="宋体" w:eastAsia="宋体" w:hAnsi="宋体" w:cs="宋体"/>
          <w:color w:val="454545"/>
          <w:kern w:val="0"/>
          <w:sz w:val="32"/>
          <w:szCs w:val="32"/>
          <w:lang w:val="en"/>
        </w:rPr>
        <w:t>“</w:t>
      </w:r>
      <w:r w:rsidRPr="002245D7">
        <w:rPr>
          <w:rFonts w:ascii="仿宋_GB2312" w:eastAsia="仿宋_GB2312" w:hAnsi="宋体" w:cs="宋体" w:hint="eastAsia"/>
          <w:color w:val="454545"/>
          <w:kern w:val="0"/>
          <w:sz w:val="32"/>
          <w:szCs w:val="32"/>
          <w:lang w:val="en"/>
        </w:rPr>
        <w:t>以事定费、购买服务</w:t>
      </w:r>
      <w:r w:rsidRPr="002245D7">
        <w:rPr>
          <w:rFonts w:ascii="宋体" w:eastAsia="宋体" w:hAnsi="宋体" w:cs="宋体"/>
          <w:color w:val="454545"/>
          <w:kern w:val="0"/>
          <w:sz w:val="32"/>
          <w:szCs w:val="32"/>
          <w:lang w:val="en"/>
        </w:rPr>
        <w:t>”</w:t>
      </w:r>
      <w:r w:rsidRPr="002245D7">
        <w:rPr>
          <w:rFonts w:ascii="仿宋_GB2312" w:eastAsia="仿宋_GB2312" w:hAnsi="宋体" w:cs="宋体" w:hint="eastAsia"/>
          <w:color w:val="454545"/>
          <w:kern w:val="0"/>
          <w:sz w:val="32"/>
          <w:szCs w:val="32"/>
          <w:lang w:val="en"/>
        </w:rPr>
        <w:t>的要求，将符合条件的民营医院纳入医疗卫生服务定点机构范围，承担政府指令性的传染病疫情防控、突发公共卫生事件应急处置、社会安全医疗保障、自然灾害事故紧急救治和院前急救等公益性工作，按规定予以补助。支持民营医院领办社区卫生服务机构，通过</w:t>
      </w:r>
      <w:r w:rsidRPr="002245D7">
        <w:rPr>
          <w:rFonts w:ascii="宋体" w:eastAsia="宋体" w:hAnsi="宋体" w:cs="宋体"/>
          <w:color w:val="454545"/>
          <w:kern w:val="0"/>
          <w:sz w:val="32"/>
          <w:szCs w:val="32"/>
          <w:lang w:val="en"/>
        </w:rPr>
        <w:t>“</w:t>
      </w:r>
      <w:r w:rsidRPr="002245D7">
        <w:rPr>
          <w:rFonts w:ascii="仿宋_GB2312" w:eastAsia="仿宋_GB2312" w:hAnsi="宋体" w:cs="宋体" w:hint="eastAsia"/>
          <w:color w:val="454545"/>
          <w:kern w:val="0"/>
          <w:sz w:val="32"/>
          <w:szCs w:val="32"/>
          <w:lang w:val="en"/>
        </w:rPr>
        <w:t>服务</w:t>
      </w:r>
      <w:proofErr w:type="gramStart"/>
      <w:r w:rsidRPr="002245D7">
        <w:rPr>
          <w:rFonts w:ascii="仿宋_GB2312" w:eastAsia="仿宋_GB2312" w:hAnsi="宋体" w:cs="宋体" w:hint="eastAsia"/>
          <w:color w:val="454545"/>
          <w:kern w:val="0"/>
          <w:sz w:val="32"/>
          <w:szCs w:val="32"/>
          <w:lang w:val="en"/>
        </w:rPr>
        <w:t>券</w:t>
      </w:r>
      <w:proofErr w:type="gramEnd"/>
      <w:r w:rsidRPr="002245D7">
        <w:rPr>
          <w:rFonts w:ascii="仿宋_GB2312" w:eastAsia="仿宋_GB2312" w:hAnsi="宋体" w:cs="宋体" w:hint="eastAsia"/>
          <w:color w:val="454545"/>
          <w:kern w:val="0"/>
          <w:sz w:val="32"/>
          <w:szCs w:val="32"/>
          <w:lang w:val="en"/>
        </w:rPr>
        <w:t>、体检</w:t>
      </w:r>
      <w:proofErr w:type="gramStart"/>
      <w:r w:rsidRPr="002245D7">
        <w:rPr>
          <w:rFonts w:ascii="仿宋_GB2312" w:eastAsia="仿宋_GB2312" w:hAnsi="宋体" w:cs="宋体" w:hint="eastAsia"/>
          <w:color w:val="454545"/>
          <w:kern w:val="0"/>
          <w:sz w:val="32"/>
          <w:szCs w:val="32"/>
          <w:lang w:val="en"/>
        </w:rPr>
        <w:t>券</w:t>
      </w:r>
      <w:proofErr w:type="gramEnd"/>
      <w:r w:rsidRPr="002245D7">
        <w:rPr>
          <w:rFonts w:ascii="宋体" w:eastAsia="宋体" w:hAnsi="宋体" w:cs="宋体"/>
          <w:color w:val="454545"/>
          <w:kern w:val="0"/>
          <w:sz w:val="32"/>
          <w:szCs w:val="32"/>
          <w:lang w:val="en"/>
        </w:rPr>
        <w:t>”</w:t>
      </w:r>
      <w:r w:rsidRPr="002245D7">
        <w:rPr>
          <w:rFonts w:ascii="仿宋_GB2312" w:eastAsia="仿宋_GB2312" w:hAnsi="宋体" w:cs="宋体" w:hint="eastAsia"/>
          <w:color w:val="454545"/>
          <w:kern w:val="0"/>
          <w:sz w:val="32"/>
          <w:szCs w:val="32"/>
          <w:lang w:val="en"/>
        </w:rPr>
        <w:t>等方式向民营医院购买居民健康体检、妇幼卫生保健、重点传染病防治等基本公共卫生和重大公共卫生服务。</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民营医院与公立医疗卫生机构实行一视同仁的社会保障定点政策。民营医院可申请纳入本辖区基本医疗保险、新型农村合作医疗、城乡医疗救助、工伤保险、生育保险等社会保障定点服务机构范围。有关部门应当按照定点服务总体规划，实行与公立医疗机构统一的审批标准和管理</w:t>
      </w:r>
      <w:r w:rsidRPr="002245D7">
        <w:rPr>
          <w:rFonts w:ascii="仿宋_GB2312" w:eastAsia="仿宋_GB2312" w:hAnsi="宋体" w:cs="宋体" w:hint="eastAsia"/>
          <w:color w:val="454545"/>
          <w:kern w:val="0"/>
          <w:sz w:val="32"/>
          <w:szCs w:val="32"/>
          <w:lang w:val="en"/>
        </w:rPr>
        <w:lastRenderedPageBreak/>
        <w:t>办法。保障部门与纳入定点范围的民营医院结算时，执行与公立医疗机构相同的支付政策。</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黑体" w:eastAsia="黑体" w:hAnsi="黑体" w:cs="宋体" w:hint="eastAsia"/>
          <w:color w:val="454545"/>
          <w:kern w:val="0"/>
          <w:sz w:val="32"/>
          <w:szCs w:val="32"/>
          <w:lang w:val="en"/>
        </w:rPr>
        <w:t>四、</w:t>
      </w:r>
      <w:proofErr w:type="gramStart"/>
      <w:r w:rsidRPr="002245D7">
        <w:rPr>
          <w:rFonts w:ascii="黑体" w:eastAsia="黑体" w:hAnsi="黑体" w:cs="宋体" w:hint="eastAsia"/>
          <w:color w:val="454545"/>
          <w:kern w:val="0"/>
          <w:sz w:val="32"/>
          <w:szCs w:val="32"/>
          <w:lang w:val="en"/>
        </w:rPr>
        <w:t>完善奖补</w:t>
      </w:r>
      <w:proofErr w:type="gramEnd"/>
      <w:r w:rsidRPr="002245D7">
        <w:rPr>
          <w:rFonts w:ascii="黑体" w:eastAsia="黑体" w:hAnsi="黑体" w:cs="宋体" w:hint="eastAsia"/>
          <w:color w:val="454545"/>
          <w:kern w:val="0"/>
          <w:sz w:val="32"/>
          <w:szCs w:val="32"/>
          <w:lang w:val="en"/>
        </w:rPr>
        <w:t>政策，鼓励民营医院做大做强</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对区内首家通过认定的二级综合性民营医院，区政府将给予一次性奖励</w:t>
      </w:r>
      <w:r w:rsidRPr="002245D7">
        <w:rPr>
          <w:rFonts w:ascii="宋体" w:eastAsia="宋体" w:hAnsi="宋体" w:cs="宋体"/>
          <w:color w:val="454545"/>
          <w:kern w:val="0"/>
          <w:sz w:val="32"/>
          <w:szCs w:val="32"/>
          <w:lang w:val="en"/>
        </w:rPr>
        <w:t>50</w:t>
      </w:r>
      <w:r w:rsidRPr="002245D7">
        <w:rPr>
          <w:rFonts w:ascii="仿宋_GB2312" w:eastAsia="仿宋_GB2312" w:hAnsi="宋体" w:cs="宋体" w:hint="eastAsia"/>
          <w:color w:val="454545"/>
          <w:kern w:val="0"/>
          <w:sz w:val="32"/>
          <w:szCs w:val="32"/>
          <w:lang w:val="en"/>
        </w:rPr>
        <w:t>万元，通过二级甲等医院评审后，再奖励</w:t>
      </w:r>
      <w:r w:rsidRPr="002245D7">
        <w:rPr>
          <w:rFonts w:ascii="宋体" w:eastAsia="宋体" w:hAnsi="宋体" w:cs="宋体"/>
          <w:color w:val="454545"/>
          <w:kern w:val="0"/>
          <w:sz w:val="32"/>
          <w:szCs w:val="32"/>
          <w:lang w:val="en"/>
        </w:rPr>
        <w:t>50</w:t>
      </w:r>
      <w:r w:rsidRPr="002245D7">
        <w:rPr>
          <w:rFonts w:ascii="仿宋_GB2312" w:eastAsia="仿宋_GB2312" w:hAnsi="宋体" w:cs="宋体" w:hint="eastAsia"/>
          <w:color w:val="454545"/>
          <w:kern w:val="0"/>
          <w:sz w:val="32"/>
          <w:szCs w:val="32"/>
          <w:lang w:val="en"/>
        </w:rPr>
        <w:t>万元；对首家三级综合性民营医院，将给予一次性奖励</w:t>
      </w:r>
      <w:r w:rsidRPr="002245D7">
        <w:rPr>
          <w:rFonts w:ascii="宋体" w:eastAsia="宋体" w:hAnsi="宋体" w:cs="宋体"/>
          <w:color w:val="454545"/>
          <w:kern w:val="0"/>
          <w:sz w:val="32"/>
          <w:szCs w:val="32"/>
          <w:lang w:val="en"/>
        </w:rPr>
        <w:t>100</w:t>
      </w:r>
      <w:r w:rsidRPr="002245D7">
        <w:rPr>
          <w:rFonts w:ascii="仿宋_GB2312" w:eastAsia="仿宋_GB2312" w:hAnsi="宋体" w:cs="宋体" w:hint="eastAsia"/>
          <w:color w:val="454545"/>
          <w:kern w:val="0"/>
          <w:sz w:val="32"/>
          <w:szCs w:val="32"/>
          <w:lang w:val="en"/>
        </w:rPr>
        <w:t>万元，通过三级甲等医院评审后，再奖励</w:t>
      </w:r>
      <w:r w:rsidRPr="002245D7">
        <w:rPr>
          <w:rFonts w:ascii="宋体" w:eastAsia="宋体" w:hAnsi="宋体" w:cs="宋体"/>
          <w:color w:val="454545"/>
          <w:kern w:val="0"/>
          <w:sz w:val="32"/>
          <w:szCs w:val="32"/>
          <w:lang w:val="en"/>
        </w:rPr>
        <w:t>100</w:t>
      </w:r>
      <w:r w:rsidRPr="002245D7">
        <w:rPr>
          <w:rFonts w:ascii="仿宋_GB2312" w:eastAsia="仿宋_GB2312" w:hAnsi="宋体" w:cs="宋体" w:hint="eastAsia"/>
          <w:color w:val="454545"/>
          <w:kern w:val="0"/>
          <w:sz w:val="32"/>
          <w:szCs w:val="32"/>
          <w:lang w:val="en"/>
        </w:rPr>
        <w:t>万元。</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民营医院学科被列为重点学科和重点专科建设项目、获得科技管理部门或卫生行政部门批准立项的科技计划项目、优秀学科带头人或优秀中青年卫生技术人才、全科医生培养和住院医师规范化培训等，财政补助政策与公立医疗机构享有同等待遇。</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黑体" w:eastAsia="黑体" w:hAnsi="黑体" w:cs="宋体" w:hint="eastAsia"/>
          <w:color w:val="454545"/>
          <w:kern w:val="0"/>
          <w:sz w:val="32"/>
          <w:szCs w:val="32"/>
          <w:lang w:val="en"/>
        </w:rPr>
        <w:t>五、实行价格优惠，落实投资奖励和扶持政策</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民营医院用电、用水、用气（燃气）等与公立医疗机构实行同价，提供的医疗服务价格实行市场调节价。营利性民营医院，可自行设立医疗服务项目并制定具体价格；非营利性民营医院，参照公立医疗卫生机构设立医疗服务项目和价格。鼓励企业、社会团体以及个人等对非营利性民营医院进行捐赠。</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各有关部门在安排财政预算内投资和专项建设资金时，对于符合条件的非营利性民营医院，支持其以股权融</w:t>
      </w:r>
      <w:r w:rsidRPr="002245D7">
        <w:rPr>
          <w:rFonts w:ascii="仿宋_GB2312" w:eastAsia="仿宋_GB2312" w:hAnsi="宋体" w:cs="宋体" w:hint="eastAsia"/>
          <w:color w:val="454545"/>
          <w:kern w:val="0"/>
          <w:sz w:val="32"/>
          <w:szCs w:val="32"/>
          <w:lang w:val="en"/>
        </w:rPr>
        <w:lastRenderedPageBreak/>
        <w:t>资、项目融资、抵押贷款等方式，筹集建设发展资金。向金融机构办理贷款的，可按有关文件规定给予贷款贴息补助。对民营医院新建、改扩建项目，固定资产投资额在</w:t>
      </w:r>
      <w:r w:rsidRPr="002245D7">
        <w:rPr>
          <w:rFonts w:ascii="宋体" w:eastAsia="宋体" w:hAnsi="宋体" w:cs="宋体"/>
          <w:color w:val="454545"/>
          <w:kern w:val="0"/>
          <w:sz w:val="32"/>
          <w:szCs w:val="32"/>
          <w:lang w:val="en"/>
        </w:rPr>
        <w:t>3000</w:t>
      </w:r>
      <w:r w:rsidRPr="002245D7">
        <w:rPr>
          <w:rFonts w:ascii="仿宋_GB2312" w:eastAsia="仿宋_GB2312" w:hAnsi="宋体" w:cs="宋体" w:hint="eastAsia"/>
          <w:color w:val="454545"/>
          <w:kern w:val="0"/>
          <w:sz w:val="32"/>
          <w:szCs w:val="32"/>
          <w:lang w:val="en"/>
        </w:rPr>
        <w:t>万元以上至</w:t>
      </w:r>
      <w:r w:rsidRPr="002245D7">
        <w:rPr>
          <w:rFonts w:ascii="宋体" w:eastAsia="宋体" w:hAnsi="宋体" w:cs="宋体"/>
          <w:color w:val="454545"/>
          <w:kern w:val="0"/>
          <w:sz w:val="32"/>
          <w:szCs w:val="32"/>
          <w:lang w:val="en"/>
        </w:rPr>
        <w:t>5000</w:t>
      </w:r>
      <w:r w:rsidRPr="002245D7">
        <w:rPr>
          <w:rFonts w:ascii="仿宋_GB2312" w:eastAsia="仿宋_GB2312" w:hAnsi="宋体" w:cs="宋体" w:hint="eastAsia"/>
          <w:color w:val="454545"/>
          <w:kern w:val="0"/>
          <w:sz w:val="32"/>
          <w:szCs w:val="32"/>
          <w:lang w:val="en"/>
        </w:rPr>
        <w:t>万元（含</w:t>
      </w:r>
      <w:r w:rsidRPr="002245D7">
        <w:rPr>
          <w:rFonts w:ascii="宋体" w:eastAsia="宋体" w:hAnsi="宋体" w:cs="宋体"/>
          <w:color w:val="454545"/>
          <w:kern w:val="0"/>
          <w:sz w:val="32"/>
          <w:szCs w:val="32"/>
          <w:lang w:val="en"/>
        </w:rPr>
        <w:t>5000</w:t>
      </w:r>
      <w:r w:rsidRPr="002245D7">
        <w:rPr>
          <w:rFonts w:ascii="仿宋_GB2312" w:eastAsia="仿宋_GB2312" w:hAnsi="宋体" w:cs="宋体" w:hint="eastAsia"/>
          <w:color w:val="454545"/>
          <w:kern w:val="0"/>
          <w:sz w:val="32"/>
          <w:szCs w:val="32"/>
          <w:lang w:val="en"/>
        </w:rPr>
        <w:t>万元）的，按投资额</w:t>
      </w:r>
      <w:r w:rsidRPr="002245D7">
        <w:rPr>
          <w:rFonts w:ascii="宋体" w:eastAsia="宋体" w:hAnsi="宋体" w:cs="宋体"/>
          <w:color w:val="454545"/>
          <w:kern w:val="0"/>
          <w:sz w:val="32"/>
          <w:szCs w:val="32"/>
          <w:lang w:val="en"/>
        </w:rPr>
        <w:t>4%</w:t>
      </w:r>
      <w:r w:rsidRPr="002245D7">
        <w:rPr>
          <w:rFonts w:ascii="仿宋_GB2312" w:eastAsia="仿宋_GB2312" w:hAnsi="宋体" w:cs="宋体" w:hint="eastAsia"/>
          <w:color w:val="454545"/>
          <w:kern w:val="0"/>
          <w:sz w:val="32"/>
          <w:szCs w:val="32"/>
          <w:lang w:val="en"/>
        </w:rPr>
        <w:t>给予奖励；投资额在</w:t>
      </w:r>
      <w:r w:rsidRPr="002245D7">
        <w:rPr>
          <w:rFonts w:ascii="宋体" w:eastAsia="宋体" w:hAnsi="宋体" w:cs="宋体"/>
          <w:color w:val="454545"/>
          <w:kern w:val="0"/>
          <w:sz w:val="32"/>
          <w:szCs w:val="32"/>
          <w:lang w:val="en"/>
        </w:rPr>
        <w:t>5000</w:t>
      </w:r>
      <w:r w:rsidRPr="002245D7">
        <w:rPr>
          <w:rFonts w:ascii="仿宋_GB2312" w:eastAsia="仿宋_GB2312" w:hAnsi="宋体" w:cs="宋体" w:hint="eastAsia"/>
          <w:color w:val="454545"/>
          <w:kern w:val="0"/>
          <w:sz w:val="32"/>
          <w:szCs w:val="32"/>
          <w:lang w:val="en"/>
        </w:rPr>
        <w:t>万元以上至</w:t>
      </w:r>
      <w:r w:rsidRPr="002245D7">
        <w:rPr>
          <w:rFonts w:ascii="宋体" w:eastAsia="宋体" w:hAnsi="宋体" w:cs="宋体"/>
          <w:color w:val="454545"/>
          <w:kern w:val="0"/>
          <w:sz w:val="32"/>
          <w:szCs w:val="32"/>
          <w:lang w:val="en"/>
        </w:rPr>
        <w:t>1</w:t>
      </w:r>
      <w:r w:rsidRPr="002245D7">
        <w:rPr>
          <w:rFonts w:ascii="仿宋_GB2312" w:eastAsia="仿宋_GB2312" w:hAnsi="宋体" w:cs="宋体" w:hint="eastAsia"/>
          <w:color w:val="454545"/>
          <w:kern w:val="0"/>
          <w:sz w:val="32"/>
          <w:szCs w:val="32"/>
          <w:lang w:val="en"/>
        </w:rPr>
        <w:t>亿元（含</w:t>
      </w:r>
      <w:r w:rsidRPr="002245D7">
        <w:rPr>
          <w:rFonts w:ascii="宋体" w:eastAsia="宋体" w:hAnsi="宋体" w:cs="宋体"/>
          <w:color w:val="454545"/>
          <w:kern w:val="0"/>
          <w:sz w:val="32"/>
          <w:szCs w:val="32"/>
          <w:lang w:val="en"/>
        </w:rPr>
        <w:t>1</w:t>
      </w:r>
      <w:r w:rsidRPr="002245D7">
        <w:rPr>
          <w:rFonts w:ascii="仿宋_GB2312" w:eastAsia="仿宋_GB2312" w:hAnsi="宋体" w:cs="宋体" w:hint="eastAsia"/>
          <w:color w:val="454545"/>
          <w:kern w:val="0"/>
          <w:sz w:val="32"/>
          <w:szCs w:val="32"/>
          <w:lang w:val="en"/>
        </w:rPr>
        <w:t>亿元）的，按投资额</w:t>
      </w:r>
      <w:r w:rsidRPr="002245D7">
        <w:rPr>
          <w:rFonts w:ascii="宋体" w:eastAsia="宋体" w:hAnsi="宋体" w:cs="宋体"/>
          <w:color w:val="454545"/>
          <w:kern w:val="0"/>
          <w:sz w:val="32"/>
          <w:szCs w:val="32"/>
          <w:lang w:val="en"/>
        </w:rPr>
        <w:t>5%</w:t>
      </w:r>
      <w:r w:rsidRPr="002245D7">
        <w:rPr>
          <w:rFonts w:ascii="仿宋_GB2312" w:eastAsia="仿宋_GB2312" w:hAnsi="宋体" w:cs="宋体" w:hint="eastAsia"/>
          <w:color w:val="454545"/>
          <w:kern w:val="0"/>
          <w:sz w:val="32"/>
          <w:szCs w:val="32"/>
          <w:lang w:val="en"/>
        </w:rPr>
        <w:t>给予奖励；投资额在</w:t>
      </w:r>
      <w:r w:rsidRPr="002245D7">
        <w:rPr>
          <w:rFonts w:ascii="宋体" w:eastAsia="宋体" w:hAnsi="宋体" w:cs="宋体"/>
          <w:color w:val="454545"/>
          <w:kern w:val="0"/>
          <w:sz w:val="32"/>
          <w:szCs w:val="32"/>
          <w:lang w:val="en"/>
        </w:rPr>
        <w:t>2</w:t>
      </w:r>
      <w:r w:rsidRPr="002245D7">
        <w:rPr>
          <w:rFonts w:ascii="仿宋_GB2312" w:eastAsia="仿宋_GB2312" w:hAnsi="宋体" w:cs="宋体" w:hint="eastAsia"/>
          <w:color w:val="454545"/>
          <w:kern w:val="0"/>
          <w:sz w:val="32"/>
          <w:szCs w:val="32"/>
          <w:lang w:val="en"/>
        </w:rPr>
        <w:t>亿元以上的，按投资额</w:t>
      </w:r>
      <w:r w:rsidRPr="002245D7">
        <w:rPr>
          <w:rFonts w:ascii="宋体" w:eastAsia="宋体" w:hAnsi="宋体" w:cs="宋体"/>
          <w:color w:val="454545"/>
          <w:kern w:val="0"/>
          <w:sz w:val="32"/>
          <w:szCs w:val="32"/>
          <w:lang w:val="en"/>
        </w:rPr>
        <w:t>6%</w:t>
      </w:r>
      <w:r w:rsidRPr="002245D7">
        <w:rPr>
          <w:rFonts w:ascii="仿宋_GB2312" w:eastAsia="仿宋_GB2312" w:hAnsi="宋体" w:cs="宋体" w:hint="eastAsia"/>
          <w:color w:val="454545"/>
          <w:kern w:val="0"/>
          <w:sz w:val="32"/>
          <w:szCs w:val="32"/>
          <w:lang w:val="en"/>
        </w:rPr>
        <w:t>给予奖励，最高不超过</w:t>
      </w:r>
      <w:r w:rsidRPr="002245D7">
        <w:rPr>
          <w:rFonts w:ascii="宋体" w:eastAsia="宋体" w:hAnsi="宋体" w:cs="宋体"/>
          <w:color w:val="454545"/>
          <w:kern w:val="0"/>
          <w:sz w:val="32"/>
          <w:szCs w:val="32"/>
          <w:lang w:val="en"/>
        </w:rPr>
        <w:t>2000</w:t>
      </w:r>
      <w:r w:rsidRPr="002245D7">
        <w:rPr>
          <w:rFonts w:ascii="仿宋_GB2312" w:eastAsia="仿宋_GB2312" w:hAnsi="宋体" w:cs="宋体" w:hint="eastAsia"/>
          <w:color w:val="454545"/>
          <w:kern w:val="0"/>
          <w:sz w:val="32"/>
          <w:szCs w:val="32"/>
          <w:lang w:val="en"/>
        </w:rPr>
        <w:t>万元。</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黑体" w:eastAsia="黑体" w:hAnsi="黑体" w:cs="宋体" w:hint="eastAsia"/>
          <w:color w:val="454545"/>
          <w:kern w:val="0"/>
          <w:sz w:val="32"/>
          <w:szCs w:val="32"/>
          <w:lang w:val="en"/>
        </w:rPr>
        <w:t>六、创新金融服务，健全土地和用房保障制度</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民营医院可以利用有偿出让土地使用权、产权明晰的房产等固定资产为自身债务提供担保，申请抵押贷款。支持民营医院以股权融资、项目融资等方式筹集建设发展资金。加大信用担保力度，鼓励和引导担保机构开展针对民营医院的信用担保业务，将民营医院贷款纳入区级融资性担保机构风险补偿资金补偿业务范围，确定合理的担保风险补偿系数。</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按照年度建设计划，国土资源部门要优先保障符合政府优先支持方向的民营医院建设项目用地。其中，民间资本举办</w:t>
      </w:r>
      <w:r w:rsidRPr="002245D7">
        <w:rPr>
          <w:rFonts w:ascii="宋体" w:eastAsia="宋体" w:hAnsi="宋体" w:cs="宋体"/>
          <w:color w:val="454545"/>
          <w:kern w:val="0"/>
          <w:sz w:val="32"/>
          <w:szCs w:val="32"/>
          <w:lang w:val="en"/>
        </w:rPr>
        <w:t>100</w:t>
      </w:r>
      <w:r w:rsidRPr="002245D7">
        <w:rPr>
          <w:rFonts w:ascii="仿宋_GB2312" w:eastAsia="仿宋_GB2312" w:hAnsi="宋体" w:cs="宋体" w:hint="eastAsia"/>
          <w:color w:val="454545"/>
          <w:kern w:val="0"/>
          <w:sz w:val="32"/>
          <w:szCs w:val="32"/>
          <w:lang w:val="en"/>
        </w:rPr>
        <w:t>张以上床位的医疗机构，经卫生计生部门核准，并纳入区重点工程管理的，可参照重大产业项目由区级统筹指标安排。对非营利性医院建设项目用地，可采取划拨或</w:t>
      </w:r>
      <w:proofErr w:type="gramStart"/>
      <w:r w:rsidRPr="002245D7">
        <w:rPr>
          <w:rFonts w:ascii="仿宋_GB2312" w:eastAsia="仿宋_GB2312" w:hAnsi="宋体" w:cs="宋体" w:hint="eastAsia"/>
          <w:color w:val="454545"/>
          <w:kern w:val="0"/>
          <w:sz w:val="32"/>
          <w:szCs w:val="32"/>
          <w:lang w:val="en"/>
        </w:rPr>
        <w:t>招拍挂方式</w:t>
      </w:r>
      <w:proofErr w:type="gramEnd"/>
      <w:r w:rsidRPr="002245D7">
        <w:rPr>
          <w:rFonts w:ascii="仿宋_GB2312" w:eastAsia="仿宋_GB2312" w:hAnsi="宋体" w:cs="宋体" w:hint="eastAsia"/>
          <w:color w:val="454545"/>
          <w:kern w:val="0"/>
          <w:sz w:val="32"/>
          <w:szCs w:val="32"/>
          <w:lang w:val="en"/>
        </w:rPr>
        <w:t>供地。</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黑体" w:eastAsia="黑体" w:hAnsi="黑体" w:cs="宋体" w:hint="eastAsia"/>
          <w:color w:val="454545"/>
          <w:kern w:val="0"/>
          <w:sz w:val="32"/>
          <w:szCs w:val="32"/>
          <w:lang w:val="en"/>
        </w:rPr>
        <w:t>七、简化审批流程，引导民营医院规范执业</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lastRenderedPageBreak/>
        <w:t>民营医院的设置、执业、注册、变更等行政许可项目，根据举办规模按审批权限办理。各有关部门应加快办理审批手续，简化审批流程，要及时予以批准。</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完善民营医院内部管理制度，建立医疗服务信息公开制度，向社会公开诊疗服务项目、流程、规范以及医务人员资质、医疗</w:t>
      </w:r>
      <w:r w:rsidRPr="002245D7">
        <w:rPr>
          <w:rFonts w:ascii="宋体" w:eastAsia="宋体" w:hAnsi="宋体" w:cs="宋体"/>
          <w:color w:val="454545"/>
          <w:kern w:val="0"/>
          <w:sz w:val="32"/>
          <w:szCs w:val="32"/>
          <w:lang w:val="en"/>
        </w:rPr>
        <w:t> </w:t>
      </w:r>
      <w:r w:rsidRPr="002245D7">
        <w:rPr>
          <w:rFonts w:ascii="仿宋_GB2312" w:eastAsia="仿宋_GB2312" w:hAnsi="宋体" w:cs="宋体" w:hint="eastAsia"/>
          <w:color w:val="454545"/>
          <w:kern w:val="0"/>
          <w:sz w:val="32"/>
          <w:szCs w:val="32"/>
          <w:lang w:val="en"/>
        </w:rPr>
        <w:t>服务收费标准、药品价格等基本事项。区卫生计生行政部门要把民营医院纳入医疗质量控制评价体系，通过日常监督管理、医疗机构校验和医师定期考核等手段，对民营医院及其医务人员执业情况进行检查、评估和审核，依法严厉打击非法行医活动和医疗欺诈行为，建立社会监督机制，将医疗质量和患者满意度纳入对民营医院日常监管范围，推动其健康发展。</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proofErr w:type="gramStart"/>
      <w:r w:rsidRPr="002245D7">
        <w:rPr>
          <w:rFonts w:ascii="仿宋_GB2312" w:eastAsia="仿宋_GB2312" w:hAnsi="宋体" w:cs="宋体" w:hint="eastAsia"/>
          <w:color w:val="454545"/>
          <w:kern w:val="0"/>
          <w:sz w:val="32"/>
          <w:szCs w:val="32"/>
          <w:lang w:val="en"/>
        </w:rPr>
        <w:t>在建未</w:t>
      </w:r>
      <w:proofErr w:type="gramEnd"/>
      <w:r w:rsidRPr="002245D7">
        <w:rPr>
          <w:rFonts w:ascii="仿宋_GB2312" w:eastAsia="仿宋_GB2312" w:hAnsi="宋体" w:cs="宋体" w:hint="eastAsia"/>
          <w:color w:val="454545"/>
          <w:kern w:val="0"/>
          <w:sz w:val="32"/>
          <w:szCs w:val="32"/>
          <w:lang w:val="en"/>
        </w:rPr>
        <w:t>正式投入运行的,项目参照执行。</w:t>
      </w:r>
    </w:p>
    <w:p w:rsidR="002245D7" w:rsidRPr="002245D7" w:rsidRDefault="002245D7" w:rsidP="002245D7">
      <w:pPr>
        <w:widowControl/>
        <w:spacing w:line="450" w:lineRule="atLeast"/>
        <w:ind w:firstLine="640"/>
        <w:jc w:val="left"/>
        <w:rPr>
          <w:rFonts w:ascii="宋体" w:eastAsia="宋体" w:hAnsi="宋体" w:cs="宋体"/>
          <w:color w:val="454545"/>
          <w:kern w:val="0"/>
          <w:sz w:val="24"/>
          <w:szCs w:val="24"/>
          <w:lang w:val="en"/>
        </w:rPr>
      </w:pPr>
      <w:r w:rsidRPr="002245D7">
        <w:rPr>
          <w:rFonts w:ascii="仿宋_GB2312" w:eastAsia="仿宋_GB2312" w:hAnsi="宋体" w:cs="宋体" w:hint="eastAsia"/>
          <w:color w:val="454545"/>
          <w:kern w:val="0"/>
          <w:sz w:val="32"/>
          <w:szCs w:val="32"/>
          <w:lang w:val="en"/>
        </w:rPr>
        <w:t>本意见暂行三年（</w:t>
      </w:r>
      <w:r w:rsidRPr="002245D7">
        <w:rPr>
          <w:rFonts w:ascii="宋体" w:eastAsia="宋体" w:hAnsi="宋体" w:cs="宋体"/>
          <w:color w:val="454545"/>
          <w:kern w:val="0"/>
          <w:sz w:val="32"/>
          <w:szCs w:val="32"/>
          <w:lang w:val="en"/>
        </w:rPr>
        <w:t>2016</w:t>
      </w:r>
      <w:r w:rsidRPr="002245D7">
        <w:rPr>
          <w:rFonts w:ascii="仿宋_GB2312" w:eastAsia="仿宋_GB2312" w:hAnsi="宋体" w:cs="宋体" w:hint="eastAsia"/>
          <w:color w:val="454545"/>
          <w:kern w:val="0"/>
          <w:sz w:val="32"/>
          <w:szCs w:val="32"/>
          <w:lang w:val="en"/>
        </w:rPr>
        <w:t>年</w:t>
      </w:r>
      <w:r w:rsidRPr="002245D7">
        <w:rPr>
          <w:rFonts w:ascii="宋体" w:eastAsia="宋体" w:hAnsi="宋体" w:cs="宋体"/>
          <w:color w:val="454545"/>
          <w:kern w:val="0"/>
          <w:sz w:val="32"/>
          <w:szCs w:val="32"/>
          <w:lang w:val="en"/>
        </w:rPr>
        <w:t>12</w:t>
      </w:r>
      <w:r w:rsidRPr="002245D7">
        <w:rPr>
          <w:rFonts w:ascii="仿宋_GB2312" w:eastAsia="仿宋_GB2312" w:hAnsi="宋体" w:cs="宋体" w:hint="eastAsia"/>
          <w:color w:val="454545"/>
          <w:kern w:val="0"/>
          <w:sz w:val="32"/>
          <w:szCs w:val="32"/>
          <w:lang w:val="en"/>
        </w:rPr>
        <w:t>月</w:t>
      </w:r>
      <w:r w:rsidRPr="002245D7">
        <w:rPr>
          <w:rFonts w:ascii="宋体" w:eastAsia="宋体" w:hAnsi="宋体" w:cs="宋体"/>
          <w:color w:val="454545"/>
          <w:kern w:val="0"/>
          <w:sz w:val="32"/>
          <w:szCs w:val="32"/>
          <w:lang w:val="en"/>
        </w:rPr>
        <w:t>1</w:t>
      </w:r>
      <w:r w:rsidRPr="002245D7">
        <w:rPr>
          <w:rFonts w:ascii="仿宋_GB2312" w:eastAsia="仿宋_GB2312" w:hAnsi="宋体" w:cs="宋体" w:hint="eastAsia"/>
          <w:color w:val="454545"/>
          <w:kern w:val="0"/>
          <w:sz w:val="32"/>
          <w:szCs w:val="32"/>
          <w:lang w:val="en"/>
        </w:rPr>
        <w:t>日—</w:t>
      </w:r>
      <w:r w:rsidRPr="002245D7">
        <w:rPr>
          <w:rFonts w:ascii="宋体" w:eastAsia="宋体" w:hAnsi="宋体" w:cs="宋体"/>
          <w:color w:val="454545"/>
          <w:kern w:val="0"/>
          <w:sz w:val="32"/>
          <w:szCs w:val="32"/>
          <w:lang w:val="en"/>
        </w:rPr>
        <w:t>2019</w:t>
      </w:r>
      <w:r w:rsidRPr="002245D7">
        <w:rPr>
          <w:rFonts w:ascii="仿宋_GB2312" w:eastAsia="仿宋_GB2312" w:hAnsi="宋体" w:cs="宋体" w:hint="eastAsia"/>
          <w:color w:val="454545"/>
          <w:kern w:val="0"/>
          <w:sz w:val="32"/>
          <w:szCs w:val="32"/>
          <w:lang w:val="en"/>
        </w:rPr>
        <w:t>年</w:t>
      </w:r>
      <w:r w:rsidRPr="002245D7">
        <w:rPr>
          <w:rFonts w:ascii="宋体" w:eastAsia="宋体" w:hAnsi="宋体" w:cs="宋体"/>
          <w:color w:val="454545"/>
          <w:kern w:val="0"/>
          <w:sz w:val="32"/>
          <w:szCs w:val="32"/>
          <w:lang w:val="en"/>
        </w:rPr>
        <w:t>11</w:t>
      </w:r>
      <w:r w:rsidRPr="002245D7">
        <w:rPr>
          <w:rFonts w:ascii="仿宋_GB2312" w:eastAsia="仿宋_GB2312" w:hAnsi="宋体" w:cs="宋体" w:hint="eastAsia"/>
          <w:color w:val="454545"/>
          <w:kern w:val="0"/>
          <w:sz w:val="32"/>
          <w:szCs w:val="32"/>
          <w:lang w:val="en"/>
        </w:rPr>
        <w:t>月</w:t>
      </w:r>
      <w:r w:rsidRPr="002245D7">
        <w:rPr>
          <w:rFonts w:ascii="宋体" w:eastAsia="宋体" w:hAnsi="宋体" w:cs="宋体"/>
          <w:color w:val="454545"/>
          <w:kern w:val="0"/>
          <w:sz w:val="32"/>
          <w:szCs w:val="32"/>
          <w:lang w:val="en"/>
        </w:rPr>
        <w:t>31</w:t>
      </w:r>
      <w:r w:rsidRPr="002245D7">
        <w:rPr>
          <w:rFonts w:ascii="仿宋_GB2312" w:eastAsia="仿宋_GB2312" w:hAnsi="宋体" w:cs="宋体" w:hint="eastAsia"/>
          <w:color w:val="454545"/>
          <w:kern w:val="0"/>
          <w:sz w:val="32"/>
          <w:szCs w:val="32"/>
          <w:lang w:val="en"/>
        </w:rPr>
        <w:t>日），由区卫生和计划生育委员会负责解释。</w:t>
      </w:r>
    </w:p>
    <w:p w:rsidR="003263DB" w:rsidRPr="002245D7" w:rsidRDefault="003263DB">
      <w:pPr>
        <w:rPr>
          <w:lang w:val="en"/>
        </w:rPr>
      </w:pPr>
      <w:bookmarkStart w:id="0" w:name="_GoBack"/>
      <w:bookmarkEnd w:id="0"/>
    </w:p>
    <w:sectPr w:rsidR="003263DB" w:rsidRPr="00224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ED"/>
    <w:rsid w:val="002245D7"/>
    <w:rsid w:val="003263DB"/>
    <w:rsid w:val="00A6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696C1-89D4-47A4-B23D-9D9EB3C5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6245">
      <w:bodyDiv w:val="1"/>
      <w:marLeft w:val="0"/>
      <w:marRight w:val="0"/>
      <w:marTop w:val="0"/>
      <w:marBottom w:val="0"/>
      <w:divBdr>
        <w:top w:val="none" w:sz="0" w:space="0" w:color="auto"/>
        <w:left w:val="none" w:sz="0" w:space="0" w:color="auto"/>
        <w:bottom w:val="none" w:sz="0" w:space="0" w:color="auto"/>
        <w:right w:val="none" w:sz="0" w:space="0" w:color="auto"/>
      </w:divBdr>
      <w:divsChild>
        <w:div w:id="1984039857">
          <w:marLeft w:val="0"/>
          <w:marRight w:val="0"/>
          <w:marTop w:val="150"/>
          <w:marBottom w:val="150"/>
          <w:divBdr>
            <w:top w:val="single" w:sz="6" w:space="0" w:color="DDDDDD"/>
            <w:left w:val="single" w:sz="6" w:space="0" w:color="DDDDDD"/>
            <w:bottom w:val="single" w:sz="6" w:space="0" w:color="DDDDDD"/>
            <w:right w:val="single" w:sz="6" w:space="0" w:color="DDDDDD"/>
          </w:divBdr>
          <w:divsChild>
            <w:div w:id="1105809143">
              <w:marLeft w:val="360"/>
              <w:marRight w:val="360"/>
              <w:marTop w:val="435"/>
              <w:marBottom w:val="0"/>
              <w:divBdr>
                <w:top w:val="none" w:sz="0" w:space="0" w:color="auto"/>
                <w:left w:val="none" w:sz="0" w:space="0" w:color="auto"/>
                <w:bottom w:val="none" w:sz="0" w:space="0" w:color="auto"/>
                <w:right w:val="none" w:sz="0" w:space="0" w:color="auto"/>
              </w:divBdr>
              <w:divsChild>
                <w:div w:id="6751110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2018-05-09T06:18:00Z</dcterms:created>
  <dcterms:modified xsi:type="dcterms:W3CDTF">2018-05-09T06:18:00Z</dcterms:modified>
</cp:coreProperties>
</file>