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tblCellSpacing w:w="0" w:type="dxa"/>
        <w:tblCellMar>
          <w:left w:w="0" w:type="dxa"/>
          <w:right w:w="0" w:type="dxa"/>
        </w:tblCellMar>
        <w:tblLook w:val="04A0" w:firstRow="1" w:lastRow="0" w:firstColumn="1" w:lastColumn="0" w:noHBand="0" w:noVBand="1"/>
      </w:tblPr>
      <w:tblGrid>
        <w:gridCol w:w="8057"/>
      </w:tblGrid>
      <w:tr w:rsidR="00FA767A" w:rsidRPr="00FA767A" w:rsidTr="00FA767A">
        <w:trPr>
          <w:trHeight w:val="350"/>
          <w:tblCellSpacing w:w="0" w:type="dxa"/>
        </w:trPr>
        <w:tc>
          <w:tcPr>
            <w:tcW w:w="0" w:type="auto"/>
            <w:vAlign w:val="center"/>
            <w:hideMark/>
          </w:tcPr>
          <w:p w:rsidR="00FA767A" w:rsidRPr="00FA767A" w:rsidRDefault="00FA767A" w:rsidP="00FA767A">
            <w:pPr>
              <w:widowControl/>
              <w:jc w:val="center"/>
              <w:rPr>
                <w:rFonts w:ascii="Simsun" w:eastAsia="宋体" w:hAnsi="Simsun" w:cs="宋体"/>
                <w:b/>
                <w:bCs/>
                <w:color w:val="000000"/>
                <w:kern w:val="0"/>
                <w:szCs w:val="21"/>
              </w:rPr>
            </w:pPr>
            <w:bookmarkStart w:id="0" w:name="_GoBack"/>
            <w:r w:rsidRPr="00FA767A">
              <w:rPr>
                <w:rFonts w:ascii="Simsun" w:eastAsia="宋体" w:hAnsi="Simsun" w:cs="宋体"/>
                <w:b/>
                <w:bCs/>
                <w:color w:val="000000"/>
                <w:kern w:val="0"/>
                <w:szCs w:val="21"/>
              </w:rPr>
              <w:t>关于印发《关于进一步加强金融支持经济发展的若干措施》的通知</w:t>
            </w:r>
            <w:bookmarkEnd w:id="0"/>
          </w:p>
        </w:tc>
      </w:tr>
      <w:tr w:rsidR="00FA767A" w:rsidRPr="00FA767A" w:rsidTr="00FA767A">
        <w:trPr>
          <w:trHeight w:val="250"/>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685"/>
              <w:gridCol w:w="2686"/>
              <w:gridCol w:w="2686"/>
            </w:tblGrid>
            <w:tr w:rsidR="00FA767A" w:rsidRPr="00FA767A">
              <w:trPr>
                <w:trHeight w:val="240"/>
                <w:tblCellSpacing w:w="0" w:type="dxa"/>
                <w:jc w:val="center"/>
              </w:trPr>
              <w:tc>
                <w:tcPr>
                  <w:tcW w:w="1250" w:type="pct"/>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信息分类：</w:t>
                  </w:r>
                  <w:r w:rsidRPr="00FA767A">
                    <w:rPr>
                      <w:rFonts w:ascii="宋体" w:eastAsia="宋体" w:hAnsi="宋体" w:cs="宋体"/>
                      <w:kern w:val="0"/>
                      <w:sz w:val="24"/>
                      <w:szCs w:val="24"/>
                    </w:rPr>
                    <w:t> </w:t>
                  </w:r>
                  <w:r w:rsidRPr="00FA767A">
                    <w:rPr>
                      <w:rFonts w:ascii="宋体" w:eastAsia="宋体" w:hAnsi="宋体" w:cs="宋体"/>
                      <w:color w:val="000000"/>
                      <w:kern w:val="0"/>
                      <w:sz w:val="18"/>
                      <w:szCs w:val="18"/>
                    </w:rPr>
                    <w:t>其他有关文件</w:t>
                  </w:r>
                </w:p>
              </w:tc>
              <w:tc>
                <w:tcPr>
                  <w:tcW w:w="1250" w:type="pct"/>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文件编号：</w:t>
                  </w:r>
                </w:p>
              </w:tc>
              <w:tc>
                <w:tcPr>
                  <w:tcW w:w="1250" w:type="pct"/>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公开方式：</w:t>
                  </w:r>
                  <w:r w:rsidRPr="00FA767A">
                    <w:rPr>
                      <w:rFonts w:ascii="宋体" w:eastAsia="宋体" w:hAnsi="宋体" w:cs="宋体"/>
                      <w:kern w:val="0"/>
                      <w:sz w:val="24"/>
                      <w:szCs w:val="24"/>
                    </w:rPr>
                    <w:t> </w:t>
                  </w:r>
                  <w:r w:rsidRPr="00FA767A">
                    <w:rPr>
                      <w:rFonts w:ascii="宋体" w:eastAsia="宋体" w:hAnsi="宋体" w:cs="宋体"/>
                      <w:color w:val="000000"/>
                      <w:kern w:val="0"/>
                      <w:sz w:val="18"/>
                      <w:szCs w:val="18"/>
                    </w:rPr>
                    <w:t>主动公开</w:t>
                  </w:r>
                </w:p>
              </w:tc>
            </w:tr>
            <w:tr w:rsidR="00FA767A" w:rsidRPr="00FA767A">
              <w:trPr>
                <w:trHeight w:val="250"/>
                <w:tblCellSpacing w:w="0" w:type="dxa"/>
                <w:jc w:val="center"/>
              </w:trPr>
              <w:tc>
                <w:tcPr>
                  <w:tcW w:w="1250" w:type="pct"/>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生成日期：</w:t>
                  </w:r>
                  <w:r w:rsidRPr="00FA767A">
                    <w:rPr>
                      <w:rFonts w:ascii="宋体" w:eastAsia="宋体" w:hAnsi="宋体" w:cs="宋体"/>
                      <w:kern w:val="0"/>
                      <w:sz w:val="24"/>
                      <w:szCs w:val="24"/>
                    </w:rPr>
                    <w:t> </w:t>
                  </w:r>
                  <w:r w:rsidRPr="00FA767A">
                    <w:rPr>
                      <w:rFonts w:ascii="宋体" w:eastAsia="宋体" w:hAnsi="宋体" w:cs="宋体"/>
                      <w:color w:val="000000"/>
                      <w:kern w:val="0"/>
                      <w:sz w:val="18"/>
                      <w:szCs w:val="18"/>
                    </w:rPr>
                    <w:t>2015-11-20</w:t>
                  </w:r>
                </w:p>
              </w:tc>
              <w:tc>
                <w:tcPr>
                  <w:tcW w:w="1250" w:type="pct"/>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公开时限：</w:t>
                  </w:r>
                  <w:r w:rsidRPr="00FA767A">
                    <w:rPr>
                      <w:rFonts w:ascii="宋体" w:eastAsia="宋体" w:hAnsi="宋体" w:cs="宋体"/>
                      <w:kern w:val="0"/>
                      <w:sz w:val="24"/>
                      <w:szCs w:val="24"/>
                    </w:rPr>
                    <w:t> </w:t>
                  </w:r>
                  <w:r w:rsidRPr="00FA767A">
                    <w:rPr>
                      <w:rFonts w:ascii="宋体" w:eastAsia="宋体" w:hAnsi="宋体" w:cs="宋体"/>
                      <w:color w:val="000000"/>
                      <w:kern w:val="0"/>
                      <w:sz w:val="18"/>
                      <w:szCs w:val="18"/>
                    </w:rPr>
                    <w:t>常年公开</w:t>
                  </w:r>
                  <w:r w:rsidRPr="00FA767A">
                    <w:rPr>
                      <w:rFonts w:ascii="宋体" w:eastAsia="宋体" w:hAnsi="宋体" w:cs="宋体"/>
                      <w:kern w:val="0"/>
                      <w:sz w:val="24"/>
                      <w:szCs w:val="24"/>
                    </w:rPr>
                    <w:t xml:space="preserve"> 　</w:t>
                  </w:r>
                </w:p>
              </w:tc>
              <w:tc>
                <w:tcPr>
                  <w:tcW w:w="1250" w:type="pct"/>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公开范围：</w:t>
                  </w:r>
                  <w:r w:rsidRPr="00FA767A">
                    <w:rPr>
                      <w:rFonts w:ascii="宋体" w:eastAsia="宋体" w:hAnsi="宋体" w:cs="宋体"/>
                      <w:kern w:val="0"/>
                      <w:sz w:val="24"/>
                      <w:szCs w:val="24"/>
                    </w:rPr>
                    <w:t> </w:t>
                  </w:r>
                  <w:r w:rsidRPr="00FA767A">
                    <w:rPr>
                      <w:rFonts w:ascii="宋体" w:eastAsia="宋体" w:hAnsi="宋体" w:cs="宋体"/>
                      <w:color w:val="000000"/>
                      <w:kern w:val="0"/>
                      <w:sz w:val="18"/>
                      <w:szCs w:val="18"/>
                    </w:rPr>
                    <w:t>面向全社会</w:t>
                  </w:r>
                </w:p>
              </w:tc>
            </w:tr>
            <w:tr w:rsidR="00FA767A" w:rsidRPr="00FA767A">
              <w:trPr>
                <w:trHeight w:val="250"/>
                <w:tblCellSpacing w:w="0" w:type="dxa"/>
                <w:jc w:val="center"/>
              </w:trPr>
              <w:tc>
                <w:tcPr>
                  <w:tcW w:w="0" w:type="auto"/>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信息索取号：</w:t>
                  </w:r>
                </w:p>
              </w:tc>
              <w:tc>
                <w:tcPr>
                  <w:tcW w:w="2500" w:type="pct"/>
                  <w:gridSpan w:val="2"/>
                  <w:vAlign w:val="center"/>
                  <w:hideMark/>
                </w:tcPr>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b/>
                      <w:bCs/>
                      <w:color w:val="000000"/>
                      <w:kern w:val="0"/>
                      <w:sz w:val="18"/>
                      <w:szCs w:val="18"/>
                    </w:rPr>
                    <w:t>责任部门：</w:t>
                  </w:r>
                </w:p>
              </w:tc>
            </w:tr>
          </w:tbl>
          <w:p w:rsidR="00FA767A" w:rsidRPr="00FA767A" w:rsidRDefault="00FA767A" w:rsidP="00FA767A">
            <w:pPr>
              <w:widowControl/>
              <w:jc w:val="center"/>
              <w:rPr>
                <w:rFonts w:ascii="Simsun" w:eastAsia="宋体" w:hAnsi="Simsun" w:cs="宋体"/>
                <w:kern w:val="0"/>
                <w:sz w:val="24"/>
                <w:szCs w:val="24"/>
              </w:rPr>
            </w:pPr>
          </w:p>
        </w:tc>
      </w:tr>
    </w:tbl>
    <w:p w:rsidR="00FA767A" w:rsidRPr="00FA767A" w:rsidRDefault="00FA767A" w:rsidP="00FA767A">
      <w:pPr>
        <w:widowControl/>
        <w:jc w:val="left"/>
        <w:rPr>
          <w:rFonts w:ascii="宋体" w:eastAsia="宋体" w:hAnsi="宋体" w:cs="宋体"/>
          <w:kern w:val="0"/>
          <w:sz w:val="24"/>
          <w:szCs w:val="24"/>
        </w:rPr>
      </w:pPr>
      <w:r w:rsidRPr="00FA767A">
        <w:rPr>
          <w:rFonts w:ascii="宋体" w:eastAsia="宋体" w:hAnsi="宋体" w:cs="宋体"/>
          <w:kern w:val="0"/>
          <w:sz w:val="24"/>
          <w:szCs w:val="24"/>
        </w:rPr>
        <w:pict>
          <v:rect id="_x0000_i1025" style="width:402.85pt;height:1pt" o:hrpct="970" o:hralign="center" o:hrstd="t" o:hrnoshade="t" o:hr="t" fillcolor="black" stroked="f"/>
        </w:pict>
      </w:r>
    </w:p>
    <w:tbl>
      <w:tblPr>
        <w:tblW w:w="4850" w:type="pct"/>
        <w:tblCellSpacing w:w="0" w:type="dxa"/>
        <w:tblCellMar>
          <w:left w:w="0" w:type="dxa"/>
          <w:right w:w="0" w:type="dxa"/>
        </w:tblCellMar>
        <w:tblLook w:val="04A0" w:firstRow="1" w:lastRow="0" w:firstColumn="1" w:lastColumn="0" w:noHBand="0" w:noVBand="1"/>
      </w:tblPr>
      <w:tblGrid>
        <w:gridCol w:w="8057"/>
      </w:tblGrid>
      <w:tr w:rsidR="00FA767A" w:rsidRPr="00FA767A" w:rsidTr="00FA767A">
        <w:trPr>
          <w:tblCellSpacing w:w="0" w:type="dxa"/>
        </w:trPr>
        <w:tc>
          <w:tcPr>
            <w:tcW w:w="0" w:type="auto"/>
            <w:hideMark/>
          </w:tcPr>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仿宋_GB2312" w:eastAsia="仿宋_GB2312" w:hAnsi="宋体" w:cs="宋体" w:hint="eastAsia"/>
                <w:color w:val="000000"/>
                <w:kern w:val="0"/>
                <w:sz w:val="32"/>
                <w:szCs w:val="32"/>
              </w:rPr>
              <w:t>龙府办发〔</w:t>
            </w:r>
            <w:r w:rsidRPr="00FA767A">
              <w:rPr>
                <w:rFonts w:ascii="宋体" w:eastAsia="宋体" w:hAnsi="宋体" w:cs="宋体" w:hint="eastAsia"/>
                <w:color w:val="000000"/>
                <w:kern w:val="0"/>
                <w:sz w:val="32"/>
                <w:szCs w:val="32"/>
              </w:rPr>
              <w:t>2015</w:t>
            </w:r>
            <w:r w:rsidRPr="00FA767A">
              <w:rPr>
                <w:rFonts w:ascii="仿宋_GB2312" w:eastAsia="仿宋_GB2312" w:hAnsi="宋体" w:cs="宋体" w:hint="eastAsia"/>
                <w:color w:val="000000"/>
                <w:kern w:val="0"/>
                <w:sz w:val="32"/>
                <w:szCs w:val="32"/>
              </w:rPr>
              <w:t>〕</w:t>
            </w:r>
            <w:r w:rsidRPr="00FA767A">
              <w:rPr>
                <w:rFonts w:ascii="宋体" w:eastAsia="宋体" w:hAnsi="宋体" w:cs="宋体" w:hint="eastAsia"/>
                <w:color w:val="000000"/>
                <w:kern w:val="0"/>
                <w:sz w:val="32"/>
                <w:szCs w:val="32"/>
              </w:rPr>
              <w:t>85</w:t>
            </w:r>
            <w:r w:rsidRPr="00FA767A">
              <w:rPr>
                <w:rFonts w:ascii="仿宋_GB2312" w:eastAsia="仿宋_GB2312" w:hAnsi="宋体" w:cs="宋体" w:hint="eastAsia"/>
                <w:color w:val="000000"/>
                <w:kern w:val="0"/>
                <w:sz w:val="32"/>
                <w:szCs w:val="32"/>
              </w:rPr>
              <w:t>号</w:t>
            </w:r>
          </w:p>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宋体" w:eastAsia="宋体" w:hAnsi="宋体" w:cs="宋体" w:hint="eastAsia"/>
                <w:color w:val="000000"/>
                <w:kern w:val="0"/>
                <w:sz w:val="44"/>
                <w:szCs w:val="44"/>
              </w:rPr>
              <w:t> </w:t>
            </w:r>
          </w:p>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宋体" w:eastAsia="宋体" w:hAnsi="宋体" w:cs="宋体" w:hint="eastAsia"/>
                <w:color w:val="000000"/>
                <w:kern w:val="0"/>
                <w:sz w:val="44"/>
                <w:szCs w:val="44"/>
              </w:rPr>
              <w:t> </w:t>
            </w:r>
          </w:p>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方正小标宋简体" w:eastAsia="方正小标宋简体" w:hAnsi="宋体" w:cs="宋体" w:hint="eastAsia"/>
                <w:color w:val="000000"/>
                <w:kern w:val="0"/>
                <w:sz w:val="44"/>
                <w:szCs w:val="44"/>
              </w:rPr>
              <w:t>龙南县人民政府办公室</w:t>
            </w:r>
          </w:p>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方正小标宋简体" w:eastAsia="方正小标宋简体" w:hAnsi="宋体" w:cs="宋体" w:hint="eastAsia"/>
                <w:color w:val="000000"/>
                <w:kern w:val="0"/>
                <w:sz w:val="44"/>
                <w:szCs w:val="44"/>
              </w:rPr>
              <w:t>关于印发</w:t>
            </w:r>
            <w:proofErr w:type="gramStart"/>
            <w:r w:rsidRPr="00FA767A">
              <w:rPr>
                <w:rFonts w:ascii="方正小标宋简体" w:eastAsia="方正小标宋简体" w:hAnsi="宋体" w:cs="宋体" w:hint="eastAsia"/>
                <w:color w:val="000000"/>
                <w:kern w:val="0"/>
                <w:sz w:val="44"/>
                <w:szCs w:val="44"/>
              </w:rPr>
              <w:t>《</w:t>
            </w:r>
            <w:proofErr w:type="gramEnd"/>
            <w:r w:rsidRPr="00FA767A">
              <w:rPr>
                <w:rFonts w:ascii="方正小标宋简体" w:eastAsia="方正小标宋简体" w:hAnsi="宋体" w:cs="宋体" w:hint="eastAsia"/>
                <w:color w:val="000000"/>
                <w:kern w:val="0"/>
                <w:sz w:val="44"/>
                <w:szCs w:val="44"/>
              </w:rPr>
              <w:t>关于进一步加强金融支持</w:t>
            </w:r>
          </w:p>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方正小标宋简体" w:eastAsia="方正小标宋简体" w:hAnsi="宋体" w:cs="宋体" w:hint="eastAsia"/>
                <w:color w:val="000000"/>
                <w:kern w:val="0"/>
                <w:sz w:val="44"/>
                <w:szCs w:val="44"/>
              </w:rPr>
              <w:t>经济发展的若干措施</w:t>
            </w:r>
            <w:proofErr w:type="gramStart"/>
            <w:r w:rsidRPr="00FA767A">
              <w:rPr>
                <w:rFonts w:ascii="方正小标宋简体" w:eastAsia="方正小标宋简体" w:hAnsi="宋体" w:cs="宋体" w:hint="eastAsia"/>
                <w:color w:val="000000"/>
                <w:kern w:val="0"/>
                <w:sz w:val="44"/>
                <w:szCs w:val="44"/>
              </w:rPr>
              <w:t>》</w:t>
            </w:r>
            <w:proofErr w:type="gramEnd"/>
            <w:r w:rsidRPr="00FA767A">
              <w:rPr>
                <w:rFonts w:ascii="方正小标宋简体" w:eastAsia="方正小标宋简体" w:hAnsi="宋体" w:cs="宋体" w:hint="eastAsia"/>
                <w:color w:val="000000"/>
                <w:kern w:val="0"/>
                <w:sz w:val="44"/>
                <w:szCs w:val="44"/>
              </w:rPr>
              <w:t>的通知</w:t>
            </w:r>
          </w:p>
          <w:p w:rsidR="00FA767A" w:rsidRPr="00FA767A" w:rsidRDefault="00FA767A" w:rsidP="00FA767A">
            <w:pPr>
              <w:widowControl/>
              <w:spacing w:line="580" w:lineRule="atLeast"/>
              <w:jc w:val="center"/>
              <w:rPr>
                <w:rFonts w:ascii="宋体" w:eastAsia="宋体" w:hAnsi="宋体" w:cs="宋体"/>
                <w:color w:val="000000"/>
                <w:kern w:val="0"/>
                <w:sz w:val="24"/>
                <w:szCs w:val="24"/>
              </w:rPr>
            </w:pPr>
            <w:r w:rsidRPr="00FA767A">
              <w:rPr>
                <w:rFonts w:ascii="Times New Roman" w:eastAsia="宋体" w:hAnsi="Times New Roman" w:cs="Times New Roman"/>
                <w:color w:val="000000"/>
                <w:kern w:val="0"/>
                <w:sz w:val="44"/>
                <w:szCs w:val="44"/>
              </w:rPr>
              <w:t> </w:t>
            </w:r>
          </w:p>
          <w:p w:rsidR="00FA767A" w:rsidRPr="00FA767A" w:rsidRDefault="00FA767A" w:rsidP="00FA767A">
            <w:pPr>
              <w:widowControl/>
              <w:spacing w:line="580" w:lineRule="atLeast"/>
              <w:jc w:val="left"/>
              <w:rPr>
                <w:rFonts w:ascii="宋体" w:eastAsia="宋体" w:hAnsi="宋体" w:cs="宋体"/>
                <w:color w:val="000000"/>
                <w:kern w:val="0"/>
                <w:sz w:val="24"/>
                <w:szCs w:val="24"/>
              </w:rPr>
            </w:pPr>
            <w:r w:rsidRPr="00FA767A">
              <w:rPr>
                <w:rFonts w:ascii="仿宋_GB2312" w:eastAsia="仿宋_GB2312" w:hAnsi="宋体" w:cs="宋体" w:hint="eastAsia"/>
                <w:color w:val="000000"/>
                <w:kern w:val="0"/>
                <w:sz w:val="32"/>
                <w:szCs w:val="32"/>
              </w:rPr>
              <w:t>县政府有关部门，县直、驻县有关单位，县辖金融机构：</w:t>
            </w:r>
          </w:p>
          <w:p w:rsidR="00FA767A" w:rsidRPr="00FA767A" w:rsidRDefault="00FA767A" w:rsidP="00FA767A">
            <w:pPr>
              <w:widowControl/>
              <w:spacing w:line="580" w:lineRule="atLeast"/>
              <w:ind w:firstLine="630"/>
              <w:jc w:val="left"/>
              <w:rPr>
                <w:rFonts w:ascii="宋体" w:eastAsia="宋体" w:hAnsi="宋体" w:cs="宋体"/>
                <w:color w:val="000000"/>
                <w:kern w:val="0"/>
                <w:sz w:val="24"/>
                <w:szCs w:val="24"/>
              </w:rPr>
            </w:pPr>
            <w:r w:rsidRPr="00FA767A">
              <w:rPr>
                <w:rFonts w:ascii="仿宋_GB2312" w:eastAsia="仿宋_GB2312" w:hAnsi="宋体" w:cs="宋体" w:hint="eastAsia"/>
                <w:color w:val="000000"/>
                <w:kern w:val="0"/>
                <w:sz w:val="32"/>
                <w:szCs w:val="32"/>
              </w:rPr>
              <w:t>《关于进一步加强金融支持经济发展的若干措施》已经县政府同意，现印发给你们，请认真组织实施。</w:t>
            </w:r>
          </w:p>
          <w:p w:rsidR="00FA767A" w:rsidRPr="00FA767A" w:rsidRDefault="00FA767A" w:rsidP="00FA767A">
            <w:pPr>
              <w:widowControl/>
              <w:spacing w:line="580" w:lineRule="atLeast"/>
              <w:ind w:firstLine="630"/>
              <w:jc w:val="left"/>
              <w:rPr>
                <w:rFonts w:ascii="宋体" w:eastAsia="宋体" w:hAnsi="宋体" w:cs="宋体"/>
                <w:color w:val="000000"/>
                <w:kern w:val="0"/>
                <w:sz w:val="24"/>
                <w:szCs w:val="24"/>
              </w:rPr>
            </w:pPr>
            <w:r w:rsidRPr="00FA767A">
              <w:rPr>
                <w:rFonts w:ascii="Times New Roman" w:eastAsia="宋体" w:hAnsi="Times New Roman" w:cs="Times New Roman"/>
                <w:color w:val="000000"/>
                <w:kern w:val="0"/>
                <w:sz w:val="32"/>
                <w:szCs w:val="32"/>
              </w:rPr>
              <w:t> </w:t>
            </w:r>
          </w:p>
          <w:p w:rsidR="00FA767A" w:rsidRPr="00FA767A" w:rsidRDefault="00FA767A" w:rsidP="00FA767A">
            <w:pPr>
              <w:widowControl/>
              <w:spacing w:line="580" w:lineRule="atLeast"/>
              <w:ind w:firstLine="630"/>
              <w:jc w:val="left"/>
              <w:rPr>
                <w:rFonts w:ascii="宋体" w:eastAsia="宋体" w:hAnsi="宋体" w:cs="宋体"/>
                <w:color w:val="000000"/>
                <w:kern w:val="0"/>
                <w:sz w:val="24"/>
                <w:szCs w:val="24"/>
              </w:rPr>
            </w:pPr>
            <w:r w:rsidRPr="00FA767A">
              <w:rPr>
                <w:rFonts w:ascii="Times New Roman" w:eastAsia="宋体" w:hAnsi="Times New Roman" w:cs="Times New Roman"/>
                <w:color w:val="000000"/>
                <w:kern w:val="0"/>
                <w:sz w:val="32"/>
                <w:szCs w:val="32"/>
              </w:rPr>
              <w:t> </w:t>
            </w:r>
          </w:p>
          <w:p w:rsidR="00FA767A" w:rsidRPr="00FA767A" w:rsidRDefault="00FA767A" w:rsidP="00FA767A">
            <w:pPr>
              <w:widowControl/>
              <w:spacing w:line="580" w:lineRule="atLeast"/>
              <w:ind w:firstLine="4960"/>
              <w:jc w:val="left"/>
              <w:rPr>
                <w:rFonts w:ascii="宋体" w:eastAsia="宋体" w:hAnsi="宋体" w:cs="宋体"/>
                <w:color w:val="000000"/>
                <w:kern w:val="0"/>
                <w:sz w:val="24"/>
                <w:szCs w:val="24"/>
              </w:rPr>
            </w:pPr>
            <w:r w:rsidRPr="00FA767A">
              <w:rPr>
                <w:rFonts w:ascii="Times New Roman" w:eastAsia="宋体" w:hAnsi="Times New Roman" w:cs="Times New Roman"/>
                <w:color w:val="000000"/>
                <w:kern w:val="0"/>
                <w:sz w:val="32"/>
                <w:szCs w:val="32"/>
              </w:rPr>
              <w:t>2015</w:t>
            </w:r>
            <w:r w:rsidRPr="00FA767A">
              <w:rPr>
                <w:rFonts w:ascii="仿宋_GB2312" w:eastAsia="仿宋_GB2312" w:hAnsi="宋体" w:cs="宋体" w:hint="eastAsia"/>
                <w:color w:val="000000"/>
                <w:kern w:val="0"/>
                <w:sz w:val="32"/>
                <w:szCs w:val="32"/>
              </w:rPr>
              <w:t>年</w:t>
            </w:r>
            <w:r w:rsidRPr="00FA767A">
              <w:rPr>
                <w:rFonts w:ascii="Times New Roman" w:eastAsia="宋体" w:hAnsi="Times New Roman" w:cs="Times New Roman"/>
                <w:color w:val="000000"/>
                <w:kern w:val="0"/>
                <w:sz w:val="32"/>
                <w:szCs w:val="32"/>
              </w:rPr>
              <w:t>11</w:t>
            </w:r>
            <w:r w:rsidRPr="00FA767A">
              <w:rPr>
                <w:rFonts w:ascii="仿宋_GB2312" w:eastAsia="仿宋_GB2312" w:hAnsi="宋体" w:cs="宋体" w:hint="eastAsia"/>
                <w:color w:val="000000"/>
                <w:kern w:val="0"/>
                <w:sz w:val="32"/>
                <w:szCs w:val="32"/>
              </w:rPr>
              <w:t>月</w:t>
            </w:r>
            <w:r w:rsidRPr="00FA767A">
              <w:rPr>
                <w:rFonts w:ascii="Times New Roman" w:eastAsia="宋体" w:hAnsi="Times New Roman" w:cs="Times New Roman"/>
                <w:color w:val="000000"/>
                <w:kern w:val="0"/>
                <w:sz w:val="32"/>
                <w:szCs w:val="32"/>
              </w:rPr>
              <w:t>18</w:t>
            </w:r>
            <w:r w:rsidRPr="00FA767A">
              <w:rPr>
                <w:rFonts w:ascii="仿宋_GB2312" w:eastAsia="仿宋_GB2312" w:hAnsi="宋体" w:cs="宋体" w:hint="eastAsia"/>
                <w:color w:val="000000"/>
                <w:kern w:val="0"/>
                <w:sz w:val="32"/>
                <w:szCs w:val="32"/>
              </w:rPr>
              <w:t>日</w:t>
            </w:r>
          </w:p>
          <w:p w:rsidR="00FA767A" w:rsidRPr="00FA767A" w:rsidRDefault="00FA767A" w:rsidP="00FA767A">
            <w:pPr>
              <w:widowControl/>
              <w:spacing w:line="560" w:lineRule="atLeast"/>
              <w:jc w:val="left"/>
              <w:rPr>
                <w:rFonts w:ascii="宋体" w:eastAsia="宋体" w:hAnsi="宋体" w:cs="宋体"/>
                <w:color w:val="000000"/>
                <w:kern w:val="0"/>
                <w:sz w:val="24"/>
                <w:szCs w:val="24"/>
              </w:rPr>
            </w:pPr>
            <w:r w:rsidRPr="00FA767A">
              <w:rPr>
                <w:rFonts w:ascii="Times New Roman" w:eastAsia="宋体" w:hAnsi="Times New Roman" w:cs="Times New Roman"/>
                <w:color w:val="000000"/>
                <w:kern w:val="0"/>
                <w:sz w:val="32"/>
                <w:szCs w:val="32"/>
              </w:rPr>
              <w:t> </w:t>
            </w:r>
          </w:p>
          <w:p w:rsidR="00FA767A" w:rsidRPr="00FA767A" w:rsidRDefault="00FA767A" w:rsidP="00FA767A">
            <w:pPr>
              <w:widowControl/>
              <w:spacing w:line="560" w:lineRule="atLeast"/>
              <w:jc w:val="center"/>
              <w:rPr>
                <w:rFonts w:ascii="宋体" w:eastAsia="宋体" w:hAnsi="宋体" w:cs="宋体"/>
                <w:color w:val="000000"/>
                <w:kern w:val="0"/>
                <w:sz w:val="24"/>
                <w:szCs w:val="24"/>
              </w:rPr>
            </w:pPr>
            <w:r w:rsidRPr="00FA767A">
              <w:rPr>
                <w:rFonts w:ascii="方正小标宋简体" w:eastAsia="方正小标宋简体" w:hAnsi="宋体" w:cs="宋体" w:hint="eastAsia"/>
                <w:color w:val="000000"/>
                <w:kern w:val="0"/>
                <w:sz w:val="44"/>
                <w:szCs w:val="44"/>
              </w:rPr>
              <w:t>关于进一步加强金融支持经济发展的若干措施</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Times New Roman" w:eastAsia="宋体" w:hAnsi="Times New Roman" w:cs="Times New Roman"/>
                <w:color w:val="000000"/>
                <w:kern w:val="0"/>
                <w:sz w:val="32"/>
                <w:szCs w:val="32"/>
              </w:rPr>
              <w:t> </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为进一步发挥金融对经济发展的支持和服务作用，促进经济稳定健康发展，制定如下措施。</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lastRenderedPageBreak/>
              <w:t>一、加大信贷支持力度</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（一）</w:t>
            </w:r>
            <w:proofErr w:type="gramStart"/>
            <w:r w:rsidRPr="00FA767A">
              <w:rPr>
                <w:rFonts w:ascii="仿宋_GB2312" w:eastAsia="仿宋_GB2312" w:hAnsi="Simsun" w:cs="宋体" w:hint="eastAsia"/>
                <w:color w:val="000000"/>
                <w:kern w:val="0"/>
                <w:sz w:val="32"/>
                <w:szCs w:val="32"/>
              </w:rPr>
              <w:t>加强政银企</w:t>
            </w:r>
            <w:proofErr w:type="gramEnd"/>
            <w:r w:rsidRPr="00FA767A">
              <w:rPr>
                <w:rFonts w:ascii="仿宋_GB2312" w:eastAsia="仿宋_GB2312" w:hAnsi="Simsun" w:cs="宋体" w:hint="eastAsia"/>
                <w:color w:val="000000"/>
                <w:kern w:val="0"/>
                <w:sz w:val="32"/>
                <w:szCs w:val="32"/>
              </w:rPr>
              <w:t>融资对接沟通，每季度至少开展</w:t>
            </w:r>
            <w:proofErr w:type="gramStart"/>
            <w:r w:rsidRPr="00FA767A">
              <w:rPr>
                <w:rFonts w:ascii="仿宋_GB2312" w:eastAsia="仿宋_GB2312" w:hAnsi="Simsun" w:cs="宋体" w:hint="eastAsia"/>
                <w:color w:val="000000"/>
                <w:kern w:val="0"/>
                <w:sz w:val="32"/>
                <w:szCs w:val="32"/>
              </w:rPr>
              <w:t>一次政银企</w:t>
            </w:r>
            <w:proofErr w:type="gramEnd"/>
            <w:r w:rsidRPr="00FA767A">
              <w:rPr>
                <w:rFonts w:ascii="仿宋_GB2312" w:eastAsia="仿宋_GB2312" w:hAnsi="Simsun" w:cs="宋体" w:hint="eastAsia"/>
                <w:color w:val="000000"/>
                <w:kern w:val="0"/>
                <w:sz w:val="32"/>
                <w:szCs w:val="32"/>
              </w:rPr>
              <w:t>对接活动，建立</w:t>
            </w:r>
            <w:proofErr w:type="gramStart"/>
            <w:r w:rsidRPr="00FA767A">
              <w:rPr>
                <w:rFonts w:ascii="仿宋_GB2312" w:eastAsia="仿宋_GB2312" w:hAnsi="Simsun" w:cs="宋体" w:hint="eastAsia"/>
                <w:color w:val="000000"/>
                <w:kern w:val="0"/>
                <w:sz w:val="32"/>
                <w:szCs w:val="32"/>
              </w:rPr>
              <w:t>政银合作</w:t>
            </w:r>
            <w:proofErr w:type="gramEnd"/>
            <w:r w:rsidRPr="00FA767A">
              <w:rPr>
                <w:rFonts w:ascii="仿宋_GB2312" w:eastAsia="仿宋_GB2312" w:hAnsi="Simsun" w:cs="宋体" w:hint="eastAsia"/>
                <w:color w:val="000000"/>
                <w:kern w:val="0"/>
                <w:sz w:val="32"/>
                <w:szCs w:val="32"/>
              </w:rPr>
              <w:t>与银企签约落实情况报告制度，引导、鼓励银行业金融机构结合我县稀土新材料、电子信息、现代轻工、食品药品四大主导产业及其</w:t>
            </w:r>
            <w:proofErr w:type="gramStart"/>
            <w:r w:rsidRPr="00FA767A">
              <w:rPr>
                <w:rFonts w:ascii="仿宋_GB2312" w:eastAsia="仿宋_GB2312" w:hAnsi="Simsun" w:cs="宋体" w:hint="eastAsia"/>
                <w:color w:val="000000"/>
                <w:kern w:val="0"/>
                <w:sz w:val="32"/>
                <w:szCs w:val="32"/>
              </w:rPr>
              <w:t>他特色</w:t>
            </w:r>
            <w:proofErr w:type="gramEnd"/>
            <w:r w:rsidRPr="00FA767A">
              <w:rPr>
                <w:rFonts w:ascii="仿宋_GB2312" w:eastAsia="仿宋_GB2312" w:hAnsi="Simsun" w:cs="宋体" w:hint="eastAsia"/>
                <w:color w:val="000000"/>
                <w:kern w:val="0"/>
                <w:sz w:val="32"/>
                <w:szCs w:val="32"/>
              </w:rPr>
              <w:t>优势产业，创新信贷产品，扩大信贷资金投入，确保每年新增贷款增幅不低于10%，银企对接履约率达到85%以上。（责任单位：县金融工作局、县人民银行、县银监办、县财政局、县工信局，各驻县银行业金融机构）</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（二）进一步改善融资环境，支持银行业金融机构加快“财园信贷通”、“小微信贷通” 、“财政惠农信贷通”等贷款投放，推行“创业信贷通”融资新模式，将工业园区外的农、林业龙头企业纳入“财园信贷通”支持范围，加大对中小企业和创新创业的信贷支持，力争全年发放贷款5亿元以上。大力推行“油茶贷”等特色金融产品，鼓励银行业金融机构围绕现代农业产业和旅游开发、仓储物流、电子商务等现代服务业开发金融新产品。进一步用好用活再贷款、再贴现等货币政策工具，保持贷款增速持续高于全市平均水平，支农、支小贷款稳步增长，力争每年全县新增贷款规模达到10亿元以上。（责任单位：县金融工作局、县人民银行、县银监办、县财政局、县安商办、县民管局、县委农工部，各驻县银行业金融机构）</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lastRenderedPageBreak/>
              <w:t>二、支持企业挂牌上市</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（三）积极引导和</w:t>
            </w:r>
            <w:proofErr w:type="gramStart"/>
            <w:r w:rsidRPr="00FA767A">
              <w:rPr>
                <w:rFonts w:ascii="仿宋_GB2312" w:eastAsia="仿宋_GB2312" w:hAnsi="Simsun" w:cs="宋体" w:hint="eastAsia"/>
                <w:color w:val="000000"/>
                <w:kern w:val="0"/>
                <w:sz w:val="32"/>
                <w:szCs w:val="32"/>
              </w:rPr>
              <w:t>推动汇森家具</w:t>
            </w:r>
            <w:proofErr w:type="gramEnd"/>
            <w:r w:rsidRPr="00FA767A">
              <w:rPr>
                <w:rFonts w:ascii="仿宋_GB2312" w:eastAsia="仿宋_GB2312" w:hAnsi="Simsun" w:cs="宋体" w:hint="eastAsia"/>
                <w:color w:val="000000"/>
                <w:kern w:val="0"/>
                <w:sz w:val="32"/>
                <w:szCs w:val="32"/>
              </w:rPr>
              <w:t>、新正耀科技、京利有色金属等优强企业上市直接融资。设立扶持企业上市直接融资专项引导资金，用于扶持企业上市及全国股份转让系统（“新三板”）挂牌。在省、市财政奖励的基础上，对进入“新三板”正式挂牌的企业，县财政每户奖励120万元（分三个阶段进行奖励：完成股份制改造和注册登记的，奖励20万元；备案申请材料被正式受理的，奖励50万元；进入系统正式挂牌的，奖励50万元）。对在上海、深圳及境外证券交易所上市的县内企业，县财政每户奖励200万元。（责任单位：县金融工作局、</w:t>
            </w:r>
            <w:proofErr w:type="gramStart"/>
            <w:r w:rsidRPr="00FA767A">
              <w:rPr>
                <w:rFonts w:ascii="仿宋_GB2312" w:eastAsia="仿宋_GB2312" w:hAnsi="Simsun" w:cs="宋体" w:hint="eastAsia"/>
                <w:color w:val="000000"/>
                <w:kern w:val="0"/>
                <w:sz w:val="32"/>
                <w:szCs w:val="32"/>
              </w:rPr>
              <w:t>县发改</w:t>
            </w:r>
            <w:proofErr w:type="gramEnd"/>
            <w:r w:rsidRPr="00FA767A">
              <w:rPr>
                <w:rFonts w:ascii="仿宋_GB2312" w:eastAsia="仿宋_GB2312" w:hAnsi="Simsun" w:cs="宋体" w:hint="eastAsia"/>
                <w:color w:val="000000"/>
                <w:kern w:val="0"/>
                <w:sz w:val="32"/>
                <w:szCs w:val="32"/>
              </w:rPr>
              <w:t>委、县工信局、县财政局）</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四）鼓励县内企业到江西联合股权交易中心挂牌融资，鼓励上市挂牌企业定向增发融资，支持企业发行企业债、债务融资工具、公司债等融资。鼓励民营企业参与县属国有企业混合所有制改革，引导中小企业采取股权融资的形式引进私募基金、风险投资机构和战略投资者，私募、风险投资依法退出时给予相关政策优惠。（责任单位：县金融工作局、</w:t>
            </w:r>
            <w:proofErr w:type="gramStart"/>
            <w:r w:rsidRPr="00FA767A">
              <w:rPr>
                <w:rFonts w:ascii="仿宋_GB2312" w:eastAsia="仿宋_GB2312" w:hAnsi="Simsun" w:cs="宋体" w:hint="eastAsia"/>
                <w:color w:val="000000"/>
                <w:kern w:val="0"/>
                <w:sz w:val="32"/>
                <w:szCs w:val="32"/>
              </w:rPr>
              <w:t>县发改</w:t>
            </w:r>
            <w:proofErr w:type="gramEnd"/>
            <w:r w:rsidRPr="00FA767A">
              <w:rPr>
                <w:rFonts w:ascii="仿宋_GB2312" w:eastAsia="仿宋_GB2312" w:hAnsi="Simsun" w:cs="宋体" w:hint="eastAsia"/>
                <w:color w:val="000000"/>
                <w:kern w:val="0"/>
                <w:sz w:val="32"/>
                <w:szCs w:val="32"/>
              </w:rPr>
              <w:t>委、县工信局、县民管局、县财政局、县国资办）</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三、拓展金融服务网络</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lastRenderedPageBreak/>
              <w:t>（五）按照全市统一部署，大力推进县农信社改制，力争2015年底前</w:t>
            </w:r>
            <w:proofErr w:type="gramStart"/>
            <w:r w:rsidRPr="00FA767A">
              <w:rPr>
                <w:rFonts w:ascii="仿宋_GB2312" w:eastAsia="仿宋_GB2312" w:hAnsi="Simsun" w:cs="宋体" w:hint="eastAsia"/>
                <w:color w:val="000000"/>
                <w:kern w:val="0"/>
                <w:sz w:val="32"/>
                <w:szCs w:val="32"/>
              </w:rPr>
              <w:t>获得批筹并</w:t>
            </w:r>
            <w:proofErr w:type="gramEnd"/>
            <w:r w:rsidRPr="00FA767A">
              <w:rPr>
                <w:rFonts w:ascii="仿宋_GB2312" w:eastAsia="仿宋_GB2312" w:hAnsi="Simsun" w:cs="宋体" w:hint="eastAsia"/>
                <w:color w:val="000000"/>
                <w:kern w:val="0"/>
                <w:sz w:val="32"/>
                <w:szCs w:val="32"/>
              </w:rPr>
              <w:t>正式挂牌开业，增强服务县域经济发展能力。积极引进南昌银行等金融机构在我县设立分支机构，大力支持驻县金融机构发展，延伸服务网点。（责任单位：县银监办、县金融工作局、县人民银行、县农信社、县财政局）</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（六）探索发展类金融机构，引进有实力的企业设立融资租赁公司和</w:t>
            </w:r>
            <w:proofErr w:type="gramStart"/>
            <w:r w:rsidRPr="00FA767A">
              <w:rPr>
                <w:rFonts w:ascii="仿宋_GB2312" w:eastAsia="仿宋_GB2312" w:hAnsi="Simsun" w:cs="宋体" w:hint="eastAsia"/>
                <w:color w:val="000000"/>
                <w:kern w:val="0"/>
                <w:sz w:val="32"/>
                <w:szCs w:val="32"/>
              </w:rPr>
              <w:t>股权众筹公司</w:t>
            </w:r>
            <w:proofErr w:type="gramEnd"/>
            <w:r w:rsidRPr="00FA767A">
              <w:rPr>
                <w:rFonts w:ascii="仿宋_GB2312" w:eastAsia="仿宋_GB2312" w:hAnsi="Simsun" w:cs="宋体" w:hint="eastAsia"/>
                <w:color w:val="000000"/>
                <w:kern w:val="0"/>
                <w:sz w:val="32"/>
                <w:szCs w:val="32"/>
              </w:rPr>
              <w:t>，规范发展小额贷款公司、典当、P2P借贷平台等类金融机构。推进发展要素市场建设，着力引进证券、期货、证券咨询、基金管理公司等机构入驻龙南。（责任单位：县金融工作局、县人民银行、县银监办、县商务局）</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四、促进融资</w:t>
            </w:r>
            <w:proofErr w:type="gramStart"/>
            <w:r w:rsidRPr="00FA767A">
              <w:rPr>
                <w:rFonts w:ascii="黑体" w:eastAsia="黑体" w:hAnsi="黑体" w:cs="宋体" w:hint="eastAsia"/>
                <w:color w:val="000000"/>
                <w:kern w:val="0"/>
                <w:sz w:val="32"/>
                <w:szCs w:val="32"/>
              </w:rPr>
              <w:t>担保业</w:t>
            </w:r>
            <w:proofErr w:type="gramEnd"/>
            <w:r w:rsidRPr="00FA767A">
              <w:rPr>
                <w:rFonts w:ascii="黑体" w:eastAsia="黑体" w:hAnsi="黑体" w:cs="宋体" w:hint="eastAsia"/>
                <w:color w:val="000000"/>
                <w:kern w:val="0"/>
                <w:sz w:val="32"/>
                <w:szCs w:val="32"/>
              </w:rPr>
              <w:t>发展</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七）贯彻落实《关于促进全市融资担保业发展的意见》（赣市府发〔2015〕29号）文件精神，加快推进融资担保体系综合改革，构建定位准确、布局合理、适度竞争、规范有序、运行高效的融资担保体系。充分发挥国有融资担保平台的作用，组建一家注册资本规模5000万元以上的政府出资融资性担保机构。推动融资担保机构与金盛源担保公司等机构开展合作，为企业和“三农”信用贷款、集合贷款、短期融资</w:t>
            </w:r>
            <w:proofErr w:type="gramStart"/>
            <w:r w:rsidRPr="00FA767A">
              <w:rPr>
                <w:rFonts w:ascii="仿宋_GB2312" w:eastAsia="仿宋_GB2312" w:hAnsi="Simsun" w:cs="宋体" w:hint="eastAsia"/>
                <w:color w:val="000000"/>
                <w:kern w:val="0"/>
                <w:sz w:val="32"/>
                <w:szCs w:val="32"/>
              </w:rPr>
              <w:t>券</w:t>
            </w:r>
            <w:proofErr w:type="gramEnd"/>
            <w:r w:rsidRPr="00FA767A">
              <w:rPr>
                <w:rFonts w:ascii="仿宋_GB2312" w:eastAsia="仿宋_GB2312" w:hAnsi="Simsun" w:cs="宋体" w:hint="eastAsia"/>
                <w:color w:val="000000"/>
                <w:kern w:val="0"/>
                <w:sz w:val="32"/>
                <w:szCs w:val="32"/>
              </w:rPr>
              <w:t>和信托计划等担保提供再担保或补充担</w:t>
            </w:r>
            <w:r w:rsidRPr="00FA767A">
              <w:rPr>
                <w:rFonts w:ascii="仿宋_GB2312" w:eastAsia="仿宋_GB2312" w:hAnsi="Simsun" w:cs="宋体" w:hint="eastAsia"/>
                <w:color w:val="000000"/>
                <w:kern w:val="0"/>
                <w:sz w:val="32"/>
                <w:szCs w:val="32"/>
              </w:rPr>
              <w:lastRenderedPageBreak/>
              <w:t>保。（责任单位：县财政局、县民管局、县工信局、县金融工作局、县人民银行、县银监办）</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八）完善对政府出资融资担保机构的考核，放宽不良担保率的考核标准，降低担保门槛，加大对企业和“三农”担保贷款力度。降低担保业务收费标准，政府出资融资担保机构担保费率不高于1.5%，再担保费率不高于2‰。（责任单位：县财政局、县金融工作局、县工信局、县委农工部、县人民银行、县银监办）</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（九）进一步完善融资担保抵（质）押制度，支持融资担保机构作为担保权人，依法办理担保业务涉及的建筑物和其他土地附着物、建设用地使用权等反担保物抵（质）押登记，以及对已抵（质）</w:t>
            </w:r>
            <w:proofErr w:type="gramStart"/>
            <w:r w:rsidRPr="00FA767A">
              <w:rPr>
                <w:rFonts w:ascii="仿宋_GB2312" w:eastAsia="仿宋_GB2312" w:hAnsi="Simsun" w:cs="宋体" w:hint="eastAsia"/>
                <w:color w:val="000000"/>
                <w:kern w:val="0"/>
                <w:sz w:val="32"/>
                <w:szCs w:val="32"/>
              </w:rPr>
              <w:t>押物进行</w:t>
            </w:r>
            <w:proofErr w:type="gramEnd"/>
            <w:r w:rsidRPr="00FA767A">
              <w:rPr>
                <w:rFonts w:ascii="仿宋_GB2312" w:eastAsia="仿宋_GB2312" w:hAnsi="Simsun" w:cs="宋体" w:hint="eastAsia"/>
                <w:color w:val="000000"/>
                <w:kern w:val="0"/>
                <w:sz w:val="32"/>
                <w:szCs w:val="32"/>
              </w:rPr>
              <w:t>二次（或多次）抵（质）押登记。允许融资担保机构凭担保合同、抵（质）</w:t>
            </w:r>
            <w:proofErr w:type="gramStart"/>
            <w:r w:rsidRPr="00FA767A">
              <w:rPr>
                <w:rFonts w:ascii="仿宋_GB2312" w:eastAsia="仿宋_GB2312" w:hAnsi="Simsun" w:cs="宋体" w:hint="eastAsia"/>
                <w:color w:val="000000"/>
                <w:kern w:val="0"/>
                <w:sz w:val="32"/>
                <w:szCs w:val="32"/>
              </w:rPr>
              <w:t>押合同</w:t>
            </w:r>
            <w:proofErr w:type="gramEnd"/>
            <w:r w:rsidRPr="00FA767A">
              <w:rPr>
                <w:rFonts w:ascii="仿宋_GB2312" w:eastAsia="仿宋_GB2312" w:hAnsi="Simsun" w:cs="宋体" w:hint="eastAsia"/>
                <w:color w:val="000000"/>
                <w:kern w:val="0"/>
                <w:sz w:val="32"/>
                <w:szCs w:val="32"/>
              </w:rPr>
              <w:t>为非银行渠道的融资担保业务办理抵（质）押登记。支持融资担保机构在办理担保业务中，依法查询被担保企业的工商、质监、税务、土地、房产、统计、海关、法院和安监等相关信息，有关部门要简化程序，提高效率，减免相关费用。进一步简化抵（质）押解</w:t>
            </w:r>
            <w:proofErr w:type="gramStart"/>
            <w:r w:rsidRPr="00FA767A">
              <w:rPr>
                <w:rFonts w:ascii="仿宋_GB2312" w:eastAsia="仿宋_GB2312" w:hAnsi="Simsun" w:cs="宋体" w:hint="eastAsia"/>
                <w:color w:val="000000"/>
                <w:kern w:val="0"/>
                <w:sz w:val="32"/>
                <w:szCs w:val="32"/>
              </w:rPr>
              <w:t>押</w:t>
            </w:r>
            <w:proofErr w:type="gramEnd"/>
            <w:r w:rsidRPr="00FA767A">
              <w:rPr>
                <w:rFonts w:ascii="仿宋_GB2312" w:eastAsia="仿宋_GB2312" w:hAnsi="Simsun" w:cs="宋体" w:hint="eastAsia"/>
                <w:color w:val="000000"/>
                <w:kern w:val="0"/>
                <w:sz w:val="32"/>
                <w:szCs w:val="32"/>
              </w:rPr>
              <w:t>后续贷抵押登记流程。（责任单位：县财政局、县金融工作局、县民管局、县工信局、县市场监管局、县房管局、县国土局、县国税局、县地税局）</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五、发挥保险功能作用</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lastRenderedPageBreak/>
              <w:t>（十）密切关注并加快</w:t>
            </w:r>
            <w:proofErr w:type="gramStart"/>
            <w:r w:rsidRPr="00FA767A">
              <w:rPr>
                <w:rFonts w:ascii="仿宋_GB2312" w:eastAsia="仿宋_GB2312" w:hAnsi="Simsun" w:cs="宋体" w:hint="eastAsia"/>
                <w:color w:val="000000"/>
                <w:kern w:val="0"/>
                <w:sz w:val="32"/>
                <w:szCs w:val="32"/>
              </w:rPr>
              <w:t>推进险资入</w:t>
            </w:r>
            <w:proofErr w:type="gramEnd"/>
            <w:r w:rsidRPr="00FA767A">
              <w:rPr>
                <w:rFonts w:ascii="仿宋_GB2312" w:eastAsia="仿宋_GB2312" w:hAnsi="Simsun" w:cs="宋体" w:hint="eastAsia"/>
                <w:color w:val="000000"/>
                <w:kern w:val="0"/>
                <w:sz w:val="32"/>
                <w:szCs w:val="32"/>
              </w:rPr>
              <w:t>赣工作，鼓励保险机构创新保险资金运用安排，通过投资股权、债权、资产支持计划等多种形式，争取更多保险资金投资我县工业、医疗、饮水、教育等重点工程建设。进一步加大保险对企业出口新兴市场的支持力度。（责任单位：县金融工作局、县财政局、县商务局、县人民银行、县银监办，各驻县保险业金融机构）</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六、创新金融产品和服务</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十一）积极推进“两权”（农村承包土地经营权和农民住房财产权）抵押试点。推动金融机构开展供应链融资业务，开拓存货、仓单、林权、果园权属、股权、商标权、专利权、农业设施等抵（质）押贷款业务，合理控制贷款利率上浮幅度，杜绝不合理收费和变相提高收费。积极支持PPP项目建设。引导金融监管部门和金融机构帮助部门和企业设计融资项目。（责任单位：县金融工作局、县人民银行、县银监办、</w:t>
            </w:r>
            <w:proofErr w:type="gramStart"/>
            <w:r w:rsidRPr="00FA767A">
              <w:rPr>
                <w:rFonts w:ascii="仿宋_GB2312" w:eastAsia="仿宋_GB2312" w:hAnsi="Simsun" w:cs="宋体" w:hint="eastAsia"/>
                <w:color w:val="000000"/>
                <w:kern w:val="0"/>
                <w:sz w:val="32"/>
                <w:szCs w:val="32"/>
              </w:rPr>
              <w:t>县发改</w:t>
            </w:r>
            <w:proofErr w:type="gramEnd"/>
            <w:r w:rsidRPr="00FA767A">
              <w:rPr>
                <w:rFonts w:ascii="仿宋_GB2312" w:eastAsia="仿宋_GB2312" w:hAnsi="Simsun" w:cs="宋体" w:hint="eastAsia"/>
                <w:color w:val="000000"/>
                <w:kern w:val="0"/>
                <w:sz w:val="32"/>
                <w:szCs w:val="32"/>
              </w:rPr>
              <w:t>委、县工信局、县财政局、县国土局、县交通局、县水利局、县农粮局、县林业局、县果业局、县旅游局、县房管局，各驻县金融机构）</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七、建立健全“四项”制度</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（十二）建立还贷周转金制度，由县财政出资成立倒</w:t>
            </w:r>
            <w:proofErr w:type="gramStart"/>
            <w:r w:rsidRPr="00FA767A">
              <w:rPr>
                <w:rFonts w:ascii="仿宋_GB2312" w:eastAsia="仿宋_GB2312" w:hAnsi="Simsun" w:cs="宋体" w:hint="eastAsia"/>
                <w:color w:val="000000"/>
                <w:kern w:val="0"/>
                <w:sz w:val="32"/>
                <w:szCs w:val="32"/>
              </w:rPr>
              <w:t>贷机</w:t>
            </w:r>
            <w:proofErr w:type="gramEnd"/>
            <w:r w:rsidRPr="00FA767A">
              <w:rPr>
                <w:rFonts w:ascii="仿宋_GB2312" w:eastAsia="仿宋_GB2312" w:hAnsi="Simsun" w:cs="宋体" w:hint="eastAsia"/>
                <w:color w:val="000000"/>
                <w:kern w:val="0"/>
                <w:sz w:val="32"/>
                <w:szCs w:val="32"/>
              </w:rPr>
              <w:t>构，并与商业银行合作，为企业提供不低于1亿元的还贷周转金。完善</w:t>
            </w:r>
            <w:proofErr w:type="gramStart"/>
            <w:r w:rsidRPr="00FA767A">
              <w:rPr>
                <w:rFonts w:ascii="仿宋_GB2312" w:eastAsia="仿宋_GB2312" w:hAnsi="Simsun" w:cs="宋体" w:hint="eastAsia"/>
                <w:color w:val="000000"/>
                <w:kern w:val="0"/>
                <w:sz w:val="32"/>
                <w:szCs w:val="32"/>
              </w:rPr>
              <w:t>银行抽贷定期</w:t>
            </w:r>
            <w:proofErr w:type="gramEnd"/>
            <w:r w:rsidRPr="00FA767A">
              <w:rPr>
                <w:rFonts w:ascii="仿宋_GB2312" w:eastAsia="仿宋_GB2312" w:hAnsi="Simsun" w:cs="宋体" w:hint="eastAsia"/>
                <w:color w:val="000000"/>
                <w:kern w:val="0"/>
                <w:sz w:val="32"/>
                <w:szCs w:val="32"/>
              </w:rPr>
              <w:t>报告制度，各银行业金融</w:t>
            </w:r>
            <w:r w:rsidRPr="00FA767A">
              <w:rPr>
                <w:rFonts w:ascii="仿宋_GB2312" w:eastAsia="仿宋_GB2312" w:hAnsi="Simsun" w:cs="宋体" w:hint="eastAsia"/>
                <w:color w:val="000000"/>
                <w:kern w:val="0"/>
                <w:sz w:val="32"/>
                <w:szCs w:val="32"/>
              </w:rPr>
              <w:lastRenderedPageBreak/>
              <w:t>机构对企业未到期</w:t>
            </w:r>
            <w:proofErr w:type="gramStart"/>
            <w:r w:rsidRPr="00FA767A">
              <w:rPr>
                <w:rFonts w:ascii="仿宋_GB2312" w:eastAsia="仿宋_GB2312" w:hAnsi="Simsun" w:cs="宋体" w:hint="eastAsia"/>
                <w:color w:val="000000"/>
                <w:kern w:val="0"/>
                <w:sz w:val="32"/>
                <w:szCs w:val="32"/>
              </w:rPr>
              <w:t>贷款抽贷和</w:t>
            </w:r>
            <w:proofErr w:type="gramEnd"/>
            <w:r w:rsidRPr="00FA767A">
              <w:rPr>
                <w:rFonts w:ascii="仿宋_GB2312" w:eastAsia="仿宋_GB2312" w:hAnsi="Simsun" w:cs="宋体" w:hint="eastAsia"/>
                <w:color w:val="000000"/>
                <w:kern w:val="0"/>
                <w:sz w:val="32"/>
                <w:szCs w:val="32"/>
              </w:rPr>
              <w:t>承诺续贷但未续贷的情况必须定期报告。建立问题企业贷款处置协调制度，由放贷最多金融机构牵头，按照“市场化处置、协调一致、进退共</w:t>
            </w:r>
            <w:proofErr w:type="gramStart"/>
            <w:r w:rsidRPr="00FA767A">
              <w:rPr>
                <w:rFonts w:ascii="仿宋_GB2312" w:eastAsia="仿宋_GB2312" w:hAnsi="Simsun" w:cs="宋体" w:hint="eastAsia"/>
                <w:color w:val="000000"/>
                <w:kern w:val="0"/>
                <w:sz w:val="32"/>
                <w:szCs w:val="32"/>
              </w:rPr>
              <w:t>嬴</w:t>
            </w:r>
            <w:proofErr w:type="gramEnd"/>
            <w:r w:rsidRPr="00FA767A">
              <w:rPr>
                <w:rFonts w:ascii="仿宋_GB2312" w:eastAsia="仿宋_GB2312" w:hAnsi="Simsun" w:cs="宋体" w:hint="eastAsia"/>
                <w:color w:val="000000"/>
                <w:kern w:val="0"/>
                <w:sz w:val="32"/>
                <w:szCs w:val="32"/>
              </w:rPr>
              <w:t>、银政合作”的原则，协调各放贷银行联动处置问题企业贷款，积极化解企业到期债务危机。建立金融诉讼案件快速处置制度，协调法院快速处置金融纠纷案件，做到快立、快审、快结，维护金融机构合法权益。（责任单位：县金融工作局、县编委办、县法院、县人民银行、县银监办，各驻县银行业金融机构）</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八、优化金融生态环境</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十三）规范金融市场秩序，协调法院集中统一受理、审理各类金融机构（组织）的金融债权诉讼案件，畅通银行不良资产处置“绿色通道”，严厉打击各种逃废金融债行为，切实维护金融机构合法权益。加大金融纠纷案件调解力度。强化打击和防范非法集资工作力度，建立长效机制，维护金融秩序，促进社会稳定。（责任单位：县法院、县公安局、县市场监管局、县金融工作局、县人民银行、县银监办）</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十四）加强信用体系建设，按照全市统一部署和工作要求，配合赣州市信用信息服务平台建设，推进重点行业和部门信用信息与市信息公用网络平台对接。推进企业信用体系建设，积极推动企业参加征信和信用评级工作，</w:t>
            </w:r>
            <w:r w:rsidRPr="00FA767A">
              <w:rPr>
                <w:rFonts w:ascii="仿宋_GB2312" w:eastAsia="仿宋_GB2312" w:hAnsi="Simsun" w:cs="宋体" w:hint="eastAsia"/>
                <w:color w:val="000000"/>
                <w:kern w:val="0"/>
                <w:sz w:val="32"/>
                <w:szCs w:val="32"/>
              </w:rPr>
              <w:lastRenderedPageBreak/>
              <w:t>培养企业诚信意识，切实提升企业信用资质。（责任单位：县人民银行、县金融工作局、</w:t>
            </w:r>
            <w:proofErr w:type="gramStart"/>
            <w:r w:rsidRPr="00FA767A">
              <w:rPr>
                <w:rFonts w:ascii="仿宋_GB2312" w:eastAsia="仿宋_GB2312" w:hAnsi="Simsun" w:cs="宋体" w:hint="eastAsia"/>
                <w:color w:val="000000"/>
                <w:kern w:val="0"/>
                <w:sz w:val="32"/>
                <w:szCs w:val="32"/>
              </w:rPr>
              <w:t>县发改</w:t>
            </w:r>
            <w:proofErr w:type="gramEnd"/>
            <w:r w:rsidRPr="00FA767A">
              <w:rPr>
                <w:rFonts w:ascii="仿宋_GB2312" w:eastAsia="仿宋_GB2312" w:hAnsi="Simsun" w:cs="宋体" w:hint="eastAsia"/>
                <w:color w:val="000000"/>
                <w:kern w:val="0"/>
                <w:sz w:val="32"/>
                <w:szCs w:val="32"/>
              </w:rPr>
              <w:t>委、县工信局、县民管局）</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九、加强金融队伍建设</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十五）加强金融知识宣传和人员培训，安排领导干部和企业家参加赣州金融研究院等机构组织的金融知识培训。邀请金融专家和业内骨干到龙南开展金融知识、资本市场等方面的讲学，组织领导干部和企业家走进证券交易所进行学习考察。按照“引进人才、培养人才”的模式，培养储备一批金融人才，加强金融机构和人员队伍建设。（责任单位：县金融工作局、县委组织部、县</w:t>
            </w:r>
            <w:proofErr w:type="gramStart"/>
            <w:r w:rsidRPr="00FA767A">
              <w:rPr>
                <w:rFonts w:ascii="仿宋_GB2312" w:eastAsia="仿宋_GB2312" w:hAnsi="Simsun" w:cs="宋体" w:hint="eastAsia"/>
                <w:color w:val="000000"/>
                <w:kern w:val="0"/>
                <w:sz w:val="32"/>
                <w:szCs w:val="32"/>
              </w:rPr>
              <w:t>人社局</w:t>
            </w:r>
            <w:proofErr w:type="gramEnd"/>
            <w:r w:rsidRPr="00FA767A">
              <w:rPr>
                <w:rFonts w:ascii="仿宋_GB2312" w:eastAsia="仿宋_GB2312" w:hAnsi="Simsun" w:cs="宋体" w:hint="eastAsia"/>
                <w:color w:val="000000"/>
                <w:kern w:val="0"/>
                <w:sz w:val="32"/>
                <w:szCs w:val="32"/>
              </w:rPr>
              <w:t>、县编委办、县财政局）</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黑体" w:eastAsia="黑体" w:hAnsi="黑体" w:cs="宋体" w:hint="eastAsia"/>
                <w:color w:val="000000"/>
                <w:kern w:val="0"/>
                <w:sz w:val="32"/>
                <w:szCs w:val="32"/>
              </w:rPr>
              <w:t>十、完善金融工作机制</w:t>
            </w:r>
          </w:p>
          <w:p w:rsidR="00FA767A" w:rsidRPr="00FA767A" w:rsidRDefault="00FA767A" w:rsidP="00FA767A">
            <w:pPr>
              <w:widowControl/>
              <w:shd w:val="clear" w:color="auto" w:fill="FFFFFF"/>
              <w:spacing w:line="560" w:lineRule="atLeast"/>
              <w:ind w:firstLine="640"/>
              <w:rPr>
                <w:rFonts w:ascii="Simsun" w:eastAsia="宋体" w:hAnsi="Simsun" w:cs="宋体"/>
                <w:color w:val="000000"/>
                <w:kern w:val="0"/>
                <w:sz w:val="18"/>
                <w:szCs w:val="18"/>
              </w:rPr>
            </w:pPr>
            <w:r w:rsidRPr="00FA767A">
              <w:rPr>
                <w:rFonts w:ascii="仿宋_GB2312" w:eastAsia="仿宋_GB2312" w:hAnsi="Simsun" w:cs="宋体" w:hint="eastAsia"/>
                <w:color w:val="000000"/>
                <w:kern w:val="0"/>
                <w:sz w:val="32"/>
                <w:szCs w:val="32"/>
              </w:rPr>
              <w:t>（十六）优化金融业考核激励机制，搭建政、银、企对接平台，建立顺畅的融资沟通机制。完善政府部门和金融监管机构联席会议制度，构建信息互通、资源共享、风险预警、协同处置的工作机制。加强与各层次银行、证券、保险业金融机构的沟通交流，深化各领域的战略合作。（责任单位：县财政局、县金融工作局、县人民银行、县银监办）</w:t>
            </w:r>
          </w:p>
          <w:p w:rsidR="00FA767A" w:rsidRPr="00FA767A" w:rsidRDefault="00FA767A" w:rsidP="00FA767A">
            <w:pPr>
              <w:widowControl/>
              <w:spacing w:line="560" w:lineRule="atLeast"/>
              <w:jc w:val="left"/>
              <w:rPr>
                <w:rFonts w:ascii="宋体" w:eastAsia="宋体" w:hAnsi="宋体" w:cs="宋体"/>
                <w:color w:val="000000"/>
                <w:kern w:val="0"/>
                <w:sz w:val="24"/>
                <w:szCs w:val="24"/>
              </w:rPr>
            </w:pPr>
            <w:r w:rsidRPr="00FA767A">
              <w:rPr>
                <w:rFonts w:ascii="仿宋_GB2312" w:eastAsia="仿宋_GB2312" w:hAnsi="宋体" w:cs="宋体" w:hint="eastAsia"/>
                <w:color w:val="000000"/>
                <w:kern w:val="0"/>
                <w:sz w:val="30"/>
                <w:szCs w:val="30"/>
              </w:rPr>
              <w:t> </w:t>
            </w:r>
          </w:p>
          <w:p w:rsidR="00FA767A" w:rsidRPr="00FA767A" w:rsidRDefault="00FA767A" w:rsidP="00FA767A">
            <w:pPr>
              <w:widowControl/>
              <w:pBdr>
                <w:bottom w:val="single" w:sz="6" w:space="1" w:color="auto"/>
              </w:pBdr>
              <w:spacing w:line="560" w:lineRule="atLeast"/>
              <w:jc w:val="left"/>
              <w:rPr>
                <w:rFonts w:ascii="宋体" w:eastAsia="宋体" w:hAnsi="宋体" w:cs="宋体"/>
                <w:color w:val="000000"/>
                <w:kern w:val="0"/>
                <w:sz w:val="24"/>
                <w:szCs w:val="24"/>
              </w:rPr>
            </w:pPr>
            <w:r w:rsidRPr="00FA767A">
              <w:rPr>
                <w:rFonts w:ascii="宋体" w:eastAsia="宋体" w:hAnsi="宋体" w:cs="宋体" w:hint="eastAsia"/>
                <w:color w:val="000000"/>
                <w:kern w:val="0"/>
                <w:sz w:val="28"/>
                <w:szCs w:val="28"/>
              </w:rPr>
              <w:t> </w:t>
            </w:r>
          </w:p>
          <w:p w:rsidR="00FA767A" w:rsidRPr="00FA767A" w:rsidRDefault="00FA767A" w:rsidP="00FA767A">
            <w:pPr>
              <w:widowControl/>
              <w:spacing w:line="560" w:lineRule="atLeast"/>
              <w:jc w:val="left"/>
              <w:rPr>
                <w:rFonts w:ascii="宋体" w:eastAsia="宋体" w:hAnsi="宋体" w:cs="宋体"/>
                <w:color w:val="000000"/>
                <w:kern w:val="0"/>
                <w:sz w:val="24"/>
                <w:szCs w:val="24"/>
              </w:rPr>
            </w:pPr>
            <w:r w:rsidRPr="00FA767A">
              <w:rPr>
                <w:rFonts w:ascii="宋体" w:eastAsia="宋体" w:hAnsi="宋体" w:cs="宋体" w:hint="eastAsia"/>
                <w:color w:val="000000"/>
                <w:spacing w:val="-4"/>
                <w:kern w:val="0"/>
                <w:sz w:val="28"/>
                <w:szCs w:val="28"/>
              </w:rPr>
              <w:lastRenderedPageBreak/>
              <w:t>  </w:t>
            </w:r>
            <w:r w:rsidRPr="00FA767A">
              <w:rPr>
                <w:rFonts w:ascii="仿宋_GB2312" w:eastAsia="仿宋_GB2312" w:hAnsi="宋体" w:cs="宋体" w:hint="eastAsia"/>
                <w:color w:val="000000"/>
                <w:spacing w:val="-4"/>
                <w:kern w:val="0"/>
                <w:sz w:val="28"/>
                <w:szCs w:val="28"/>
              </w:rPr>
              <w:t>龙南县人民政府办公室</w:t>
            </w:r>
            <w:r w:rsidRPr="00FA767A">
              <w:rPr>
                <w:rFonts w:ascii="宋体" w:eastAsia="宋体" w:hAnsi="宋体" w:cs="宋体" w:hint="eastAsia"/>
                <w:color w:val="000000"/>
                <w:spacing w:val="-4"/>
                <w:kern w:val="0"/>
                <w:sz w:val="28"/>
                <w:szCs w:val="28"/>
              </w:rPr>
              <w:t>                        2015</w:t>
            </w:r>
            <w:r w:rsidRPr="00FA767A">
              <w:rPr>
                <w:rFonts w:ascii="仿宋_GB2312" w:eastAsia="仿宋_GB2312" w:hAnsi="宋体" w:cs="宋体" w:hint="eastAsia"/>
                <w:color w:val="000000"/>
                <w:spacing w:val="-4"/>
                <w:kern w:val="0"/>
                <w:sz w:val="28"/>
                <w:szCs w:val="28"/>
              </w:rPr>
              <w:t>年</w:t>
            </w:r>
            <w:r w:rsidRPr="00FA767A">
              <w:rPr>
                <w:rFonts w:ascii="宋体" w:eastAsia="宋体" w:hAnsi="宋体" w:cs="宋体" w:hint="eastAsia"/>
                <w:color w:val="000000"/>
                <w:spacing w:val="-4"/>
                <w:kern w:val="0"/>
                <w:sz w:val="28"/>
                <w:szCs w:val="28"/>
              </w:rPr>
              <w:t>11</w:t>
            </w:r>
            <w:r w:rsidRPr="00FA767A">
              <w:rPr>
                <w:rFonts w:ascii="仿宋_GB2312" w:eastAsia="仿宋_GB2312" w:hAnsi="宋体" w:cs="宋体" w:hint="eastAsia"/>
                <w:color w:val="000000"/>
                <w:spacing w:val="-4"/>
                <w:kern w:val="0"/>
                <w:sz w:val="28"/>
                <w:szCs w:val="28"/>
              </w:rPr>
              <w:t>月</w:t>
            </w:r>
            <w:r w:rsidRPr="00FA767A">
              <w:rPr>
                <w:rFonts w:ascii="宋体" w:eastAsia="宋体" w:hAnsi="宋体" w:cs="宋体" w:hint="eastAsia"/>
                <w:color w:val="000000"/>
                <w:spacing w:val="-4"/>
                <w:kern w:val="0"/>
                <w:sz w:val="28"/>
                <w:szCs w:val="28"/>
              </w:rPr>
              <w:t>18</w:t>
            </w:r>
            <w:r w:rsidRPr="00FA767A">
              <w:rPr>
                <w:rFonts w:ascii="仿宋_GB2312" w:eastAsia="仿宋_GB2312" w:hAnsi="宋体" w:cs="宋体" w:hint="eastAsia"/>
                <w:color w:val="000000"/>
                <w:spacing w:val="-4"/>
                <w:kern w:val="0"/>
                <w:sz w:val="28"/>
                <w:szCs w:val="28"/>
              </w:rPr>
              <w:t>日印发</w:t>
            </w:r>
            <w:r w:rsidRPr="00FA767A">
              <w:rPr>
                <w:rFonts w:ascii="宋体" w:eastAsia="宋体" w:hAnsi="宋体" w:cs="宋体" w:hint="eastAsia"/>
                <w:color w:val="000000"/>
                <w:spacing w:val="-4"/>
                <w:kern w:val="0"/>
                <w:sz w:val="28"/>
                <w:szCs w:val="28"/>
              </w:rPr>
              <w:t> </w:t>
            </w:r>
          </w:p>
        </w:tc>
      </w:tr>
    </w:tbl>
    <w:p w:rsidR="00FA767A" w:rsidRPr="00FA767A" w:rsidRDefault="00FA767A" w:rsidP="00FA767A">
      <w:pPr>
        <w:widowControl/>
        <w:jc w:val="left"/>
        <w:rPr>
          <w:rFonts w:ascii="宋体" w:eastAsia="宋体" w:hAnsi="宋体" w:cs="宋体"/>
          <w:vanish/>
          <w:kern w:val="0"/>
          <w:sz w:val="24"/>
          <w:szCs w:val="24"/>
        </w:rPr>
      </w:pPr>
    </w:p>
    <w:tbl>
      <w:tblPr>
        <w:tblW w:w="4850" w:type="pct"/>
        <w:tblCellSpacing w:w="0" w:type="dxa"/>
        <w:tblCellMar>
          <w:left w:w="0" w:type="dxa"/>
          <w:right w:w="0" w:type="dxa"/>
        </w:tblCellMar>
        <w:tblLook w:val="04A0" w:firstRow="1" w:lastRow="0" w:firstColumn="1" w:lastColumn="0" w:noHBand="0" w:noVBand="1"/>
      </w:tblPr>
      <w:tblGrid>
        <w:gridCol w:w="8057"/>
      </w:tblGrid>
      <w:tr w:rsidR="00FA767A" w:rsidRPr="00FA767A" w:rsidTr="00FA767A">
        <w:trPr>
          <w:tblCellSpacing w:w="0" w:type="dxa"/>
        </w:trPr>
        <w:tc>
          <w:tcPr>
            <w:tcW w:w="0" w:type="auto"/>
            <w:vAlign w:val="center"/>
            <w:hideMark/>
          </w:tcPr>
          <w:p w:rsidR="00FA767A" w:rsidRPr="00FA767A" w:rsidRDefault="00FA767A" w:rsidP="00FA767A">
            <w:pPr>
              <w:widowControl/>
              <w:jc w:val="left"/>
              <w:rPr>
                <w:rFonts w:ascii="宋体" w:eastAsia="宋体" w:hAnsi="宋体" w:cs="宋体"/>
                <w:kern w:val="0"/>
                <w:sz w:val="24"/>
                <w:szCs w:val="24"/>
              </w:rPr>
            </w:pPr>
          </w:p>
        </w:tc>
      </w:tr>
    </w:tbl>
    <w:p w:rsidR="00FA767A" w:rsidRPr="00FA767A" w:rsidRDefault="00FA767A" w:rsidP="00FA767A">
      <w:pPr>
        <w:widowControl/>
        <w:jc w:val="left"/>
        <w:rPr>
          <w:rFonts w:ascii="宋体" w:eastAsia="宋体" w:hAnsi="宋体" w:cs="宋体"/>
          <w:vanish/>
          <w:kern w:val="0"/>
          <w:sz w:val="24"/>
          <w:szCs w:val="24"/>
        </w:rPr>
      </w:pPr>
    </w:p>
    <w:p w:rsidR="00E359FA" w:rsidRDefault="00E359FA"/>
    <w:sectPr w:rsidR="00E35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7A"/>
    <w:rsid w:val="00E359FA"/>
    <w:rsid w:val="00FA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AC8B7-AC3A-454C-9307-55184965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n6">
    <w:name w:val="cn6"/>
    <w:basedOn w:val="a0"/>
    <w:rsid w:val="00FA767A"/>
  </w:style>
  <w:style w:type="character" w:customStyle="1" w:styleId="apple-converted-space">
    <w:name w:val="apple-converted-space"/>
    <w:basedOn w:val="a0"/>
    <w:rsid w:val="00FA767A"/>
  </w:style>
  <w:style w:type="character" w:customStyle="1" w:styleId="cn4">
    <w:name w:val="cn4"/>
    <w:basedOn w:val="a0"/>
    <w:rsid w:val="00FA767A"/>
  </w:style>
  <w:style w:type="paragraph" w:styleId="a3">
    <w:name w:val="Normal (Web)"/>
    <w:basedOn w:val="a"/>
    <w:uiPriority w:val="99"/>
    <w:semiHidden/>
    <w:unhideWhenUsed/>
    <w:rsid w:val="00FA76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41478">
      <w:bodyDiv w:val="1"/>
      <w:marLeft w:val="0"/>
      <w:marRight w:val="0"/>
      <w:marTop w:val="0"/>
      <w:marBottom w:val="0"/>
      <w:divBdr>
        <w:top w:val="none" w:sz="0" w:space="0" w:color="auto"/>
        <w:left w:val="none" w:sz="0" w:space="0" w:color="auto"/>
        <w:bottom w:val="none" w:sz="0" w:space="0" w:color="auto"/>
        <w:right w:val="none" w:sz="0" w:space="0" w:color="auto"/>
      </w:divBdr>
      <w:divsChild>
        <w:div w:id="522019601">
          <w:marLeft w:val="0"/>
          <w:marRight w:val="0"/>
          <w:marTop w:val="0"/>
          <w:marBottom w:val="0"/>
          <w:divBdr>
            <w:top w:val="none" w:sz="0" w:space="0" w:color="auto"/>
            <w:left w:val="none" w:sz="0" w:space="0" w:color="auto"/>
            <w:bottom w:val="single" w:sz="8" w:space="4"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2018-05-11T03:07:00Z</dcterms:created>
  <dcterms:modified xsi:type="dcterms:W3CDTF">2018-05-11T03:07:00Z</dcterms:modified>
</cp:coreProperties>
</file>