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shd w:val="clear" w:color="auto" w:fill="FFFFFF"/>
        <w:tblCellMar>
          <w:left w:w="0" w:type="dxa"/>
          <w:right w:w="0" w:type="dxa"/>
        </w:tblCellMar>
        <w:tblLook w:val="04A0" w:firstRow="1" w:lastRow="0" w:firstColumn="1" w:lastColumn="0" w:noHBand="0" w:noVBand="1"/>
      </w:tblPr>
      <w:tblGrid>
        <w:gridCol w:w="8140"/>
      </w:tblGrid>
      <w:tr w:rsidR="00F53DD1" w:rsidRPr="00F53DD1" w:rsidTr="00F53DD1">
        <w:trPr>
          <w:trHeight w:val="600"/>
          <w:tblCellSpacing w:w="0" w:type="dxa"/>
          <w:jc w:val="center"/>
        </w:trPr>
        <w:tc>
          <w:tcPr>
            <w:tcW w:w="0" w:type="auto"/>
            <w:shd w:val="clear" w:color="auto" w:fill="FFFFFF"/>
            <w:vAlign w:val="center"/>
            <w:hideMark/>
          </w:tcPr>
          <w:p w:rsidR="00F53DD1" w:rsidRPr="00F53DD1" w:rsidRDefault="00F53DD1" w:rsidP="00F53DD1">
            <w:pPr>
              <w:widowControl/>
              <w:spacing w:line="360" w:lineRule="atLeast"/>
              <w:jc w:val="center"/>
              <w:rPr>
                <w:rFonts w:ascii="宋体" w:eastAsia="宋体" w:hAnsi="宋体" w:cs="宋体"/>
                <w:color w:val="151515"/>
                <w:kern w:val="0"/>
                <w:sz w:val="18"/>
                <w:szCs w:val="18"/>
              </w:rPr>
            </w:pPr>
            <w:bookmarkStart w:id="0" w:name="_GoBack"/>
            <w:bookmarkEnd w:id="0"/>
            <w:r w:rsidRPr="00F53DD1">
              <w:rPr>
                <w:rFonts w:ascii="宋体" w:eastAsia="宋体" w:hAnsi="宋体" w:cs="宋体" w:hint="eastAsia"/>
                <w:b/>
                <w:bCs/>
                <w:color w:val="FF0000"/>
                <w:kern w:val="0"/>
                <w:szCs w:val="21"/>
              </w:rPr>
              <w:t>关于加快推进高校毕业生就业见习工作的通知</w:t>
            </w:r>
          </w:p>
        </w:tc>
      </w:tr>
      <w:tr w:rsidR="00F53DD1" w:rsidRPr="00F53DD1" w:rsidTr="00F53DD1">
        <w:trPr>
          <w:tblCellSpacing w:w="0" w:type="dxa"/>
          <w:jc w:val="center"/>
        </w:trPr>
        <w:tc>
          <w:tcPr>
            <w:tcW w:w="0" w:type="auto"/>
            <w:shd w:val="clear" w:color="auto" w:fill="FFFFFF"/>
            <w:vAlign w:val="center"/>
            <w:hideMark/>
          </w:tcPr>
          <w:p w:rsidR="00F53DD1" w:rsidRPr="00F53DD1" w:rsidRDefault="00F53DD1" w:rsidP="00F53DD1">
            <w:pPr>
              <w:widowControl/>
              <w:spacing w:line="360" w:lineRule="atLeast"/>
              <w:jc w:val="center"/>
              <w:rPr>
                <w:rFonts w:ascii="宋体" w:eastAsia="宋体" w:hAnsi="宋体" w:cs="宋体" w:hint="eastAsia"/>
                <w:color w:val="151515"/>
                <w:kern w:val="0"/>
                <w:sz w:val="18"/>
                <w:szCs w:val="18"/>
              </w:rPr>
            </w:pPr>
          </w:p>
        </w:tc>
      </w:tr>
      <w:tr w:rsidR="00F53DD1" w:rsidRPr="00F53DD1" w:rsidTr="00F53DD1">
        <w:trPr>
          <w:tblCellSpacing w:w="0" w:type="dxa"/>
          <w:jc w:val="center"/>
        </w:trPr>
        <w:tc>
          <w:tcPr>
            <w:tcW w:w="0" w:type="auto"/>
            <w:shd w:val="clear" w:color="auto" w:fill="FFFFFF"/>
            <w:vAlign w:val="center"/>
            <w:hideMark/>
          </w:tcPr>
          <w:p w:rsidR="00F53DD1" w:rsidRPr="00F53DD1" w:rsidRDefault="00F53DD1" w:rsidP="00F53DD1">
            <w:pPr>
              <w:widowControl/>
              <w:spacing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pict>
                <v:rect id="_x0000_i1025" style="width:415.3pt;height:.75pt" o:hralign="center" o:hrstd="t" o:hrnoshade="t" o:hr="t" fillcolor="red" stroked="f"/>
              </w:pict>
            </w:r>
          </w:p>
        </w:tc>
      </w:tr>
      <w:tr w:rsidR="00F53DD1" w:rsidRPr="00F53DD1" w:rsidTr="00F53DD1">
        <w:trPr>
          <w:tblCellSpacing w:w="0" w:type="dxa"/>
          <w:jc w:val="center"/>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4088"/>
              <w:gridCol w:w="4052"/>
            </w:tblGrid>
            <w:tr w:rsidR="00F53DD1" w:rsidRPr="00F53DD1">
              <w:trPr>
                <w:tblCellSpacing w:w="0" w:type="dxa"/>
              </w:trPr>
              <w:tc>
                <w:tcPr>
                  <w:tcW w:w="4425" w:type="dxa"/>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c>
                <w:tcPr>
                  <w:tcW w:w="4395" w:type="dxa"/>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r>
            <w:tr w:rsidR="00F53DD1" w:rsidRPr="00F53DD1">
              <w:trPr>
                <w:tblCellSpacing w:w="0" w:type="dxa"/>
              </w:trPr>
              <w:tc>
                <w:tcPr>
                  <w:tcW w:w="4425" w:type="dxa"/>
                  <w:hideMark/>
                </w:tcPr>
                <w:p w:rsidR="00F53DD1" w:rsidRPr="00F53DD1" w:rsidRDefault="00F53DD1" w:rsidP="00F53DD1">
                  <w:pPr>
                    <w:widowControl/>
                    <w:jc w:val="left"/>
                    <w:rPr>
                      <w:rFonts w:ascii="宋体" w:eastAsia="宋体" w:hAnsi="宋体" w:cs="宋体" w:hint="eastAsia"/>
                      <w:color w:val="151515"/>
                      <w:kern w:val="0"/>
                      <w:sz w:val="18"/>
                      <w:szCs w:val="18"/>
                    </w:rPr>
                  </w:pPr>
                </w:p>
              </w:tc>
              <w:tc>
                <w:tcPr>
                  <w:tcW w:w="4395" w:type="dxa"/>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color w:val="151515"/>
                      <w:kern w:val="0"/>
                      <w:sz w:val="18"/>
                      <w:szCs w:val="18"/>
                    </w:rPr>
                  </w:pPr>
                  <w:r w:rsidRPr="00F53DD1">
                    <w:rPr>
                      <w:rFonts w:ascii="宋体" w:eastAsia="宋体" w:hAnsi="宋体" w:cs="宋体" w:hint="eastAsia"/>
                      <w:color w:val="151515"/>
                      <w:kern w:val="0"/>
                      <w:sz w:val="18"/>
                      <w:szCs w:val="18"/>
                    </w:rPr>
                    <w:t> </w:t>
                  </w:r>
                </w:p>
              </w:tc>
            </w:tr>
            <w:tr w:rsidR="00F53DD1" w:rsidRPr="00F53DD1">
              <w:trPr>
                <w:tblCellSpacing w:w="0" w:type="dxa"/>
              </w:trPr>
              <w:tc>
                <w:tcPr>
                  <w:tcW w:w="4425" w:type="dxa"/>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c>
                <w:tcPr>
                  <w:tcW w:w="4395" w:type="dxa"/>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r>
            <w:tr w:rsidR="00F53DD1" w:rsidRPr="00F53DD1">
              <w:trPr>
                <w:tblCellSpacing w:w="0" w:type="dxa"/>
              </w:trPr>
              <w:tc>
                <w:tcPr>
                  <w:tcW w:w="8820" w:type="dxa"/>
                  <w:gridSpan w:val="2"/>
                  <w:hideMark/>
                </w:tcPr>
                <w:p w:rsidR="00F53DD1" w:rsidRPr="00F53DD1" w:rsidRDefault="00F53DD1" w:rsidP="00F53DD1">
                  <w:pPr>
                    <w:widowControl/>
                    <w:spacing w:before="100" w:beforeAutospacing="1" w:after="100" w:afterAutospacing="1" w:line="360" w:lineRule="atLeast"/>
                    <w:jc w:val="center"/>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r>
            <w:tr w:rsidR="00F53DD1" w:rsidRPr="00F53DD1">
              <w:trPr>
                <w:tblCellSpacing w:w="0" w:type="dxa"/>
              </w:trPr>
              <w:tc>
                <w:tcPr>
                  <w:tcW w:w="8820" w:type="dxa"/>
                  <w:gridSpan w:val="2"/>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p w:rsidR="00F53DD1" w:rsidRPr="00F53DD1" w:rsidRDefault="00F53DD1" w:rsidP="00F53DD1">
                  <w:pPr>
                    <w:widowControl/>
                    <w:spacing w:before="100" w:beforeAutospacing="1" w:after="100" w:afterAutospacing="1" w:line="360" w:lineRule="atLeast"/>
                    <w:jc w:val="center"/>
                    <w:rPr>
                      <w:rFonts w:ascii="宋体" w:eastAsia="宋体" w:hAnsi="宋体" w:cs="宋体" w:hint="eastAsia"/>
                      <w:color w:val="151515"/>
                      <w:kern w:val="0"/>
                      <w:sz w:val="18"/>
                      <w:szCs w:val="18"/>
                    </w:rPr>
                  </w:pPr>
                  <w:bookmarkStart w:id="1" w:name="文种"/>
                  <w:proofErr w:type="gramStart"/>
                  <w:r w:rsidRPr="00F53DD1">
                    <w:rPr>
                      <w:rFonts w:ascii="宋体" w:eastAsia="宋体" w:hAnsi="宋体" w:cs="宋体" w:hint="eastAsia"/>
                      <w:color w:val="151515"/>
                      <w:kern w:val="0"/>
                      <w:sz w:val="18"/>
                      <w:szCs w:val="18"/>
                    </w:rPr>
                    <w:t>渝人社发</w:t>
                  </w:r>
                  <w:bookmarkEnd w:id="1"/>
                  <w:proofErr w:type="gramEnd"/>
                  <w:r w:rsidRPr="00F53DD1">
                    <w:rPr>
                      <w:rFonts w:ascii="宋体" w:eastAsia="宋体" w:hAnsi="宋体" w:cs="宋体" w:hint="eastAsia"/>
                      <w:color w:val="151515"/>
                      <w:kern w:val="0"/>
                      <w:sz w:val="18"/>
                      <w:szCs w:val="18"/>
                    </w:rPr>
                    <w:t>〔</w:t>
                  </w:r>
                  <w:bookmarkStart w:id="2" w:name="年份"/>
                  <w:r w:rsidRPr="00F53DD1">
                    <w:rPr>
                      <w:rFonts w:ascii="宋体" w:eastAsia="宋体" w:hAnsi="宋体" w:cs="宋体" w:hint="eastAsia"/>
                      <w:color w:val="151515"/>
                      <w:kern w:val="0"/>
                      <w:sz w:val="18"/>
                      <w:szCs w:val="18"/>
                    </w:rPr>
                    <w:t>2015</w:t>
                  </w:r>
                  <w:bookmarkEnd w:id="2"/>
                  <w:r w:rsidRPr="00F53DD1">
                    <w:rPr>
                      <w:rFonts w:ascii="宋体" w:eastAsia="宋体" w:hAnsi="宋体" w:cs="宋体" w:hint="eastAsia"/>
                      <w:color w:val="151515"/>
                      <w:kern w:val="0"/>
                      <w:sz w:val="18"/>
                      <w:szCs w:val="18"/>
                    </w:rPr>
                    <w:t>〕</w:t>
                  </w:r>
                  <w:bookmarkStart w:id="3" w:name="字号"/>
                  <w:r w:rsidRPr="00F53DD1">
                    <w:rPr>
                      <w:rFonts w:ascii="宋体" w:eastAsia="宋体" w:hAnsi="宋体" w:cs="宋体" w:hint="eastAsia"/>
                      <w:color w:val="151515"/>
                      <w:kern w:val="0"/>
                      <w:sz w:val="18"/>
                      <w:szCs w:val="18"/>
                    </w:rPr>
                    <w:t>128</w:t>
                  </w:r>
                  <w:bookmarkEnd w:id="3"/>
                  <w:r w:rsidRPr="00F53DD1">
                    <w:rPr>
                      <w:rFonts w:ascii="宋体" w:eastAsia="宋体" w:hAnsi="宋体" w:cs="宋体" w:hint="eastAsia"/>
                      <w:color w:val="151515"/>
                      <w:kern w:val="0"/>
                      <w:sz w:val="18"/>
                      <w:szCs w:val="18"/>
                    </w:rPr>
                    <w:t>号</w:t>
                  </w:r>
                </w:p>
              </w:tc>
            </w:tr>
          </w:tbl>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p w:rsidR="00F53DD1" w:rsidRPr="00F53DD1" w:rsidRDefault="00F53DD1" w:rsidP="00F53DD1">
            <w:pPr>
              <w:widowControl/>
              <w:spacing w:before="100" w:beforeAutospacing="1" w:after="100" w:afterAutospacing="1" w:line="360" w:lineRule="atLeast"/>
              <w:jc w:val="center"/>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重庆市人力资源和社会保障局重庆市财政局</w:t>
            </w:r>
          </w:p>
          <w:p w:rsidR="00F53DD1" w:rsidRPr="00F53DD1" w:rsidRDefault="00F53DD1" w:rsidP="00F53DD1">
            <w:pPr>
              <w:widowControl/>
              <w:spacing w:before="100" w:beforeAutospacing="1" w:after="100" w:afterAutospacing="1" w:line="360" w:lineRule="atLeast"/>
              <w:jc w:val="center"/>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关于加快推进高校毕业生就业见习工作的通知</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各区县（自治县）人力资源和社会保障局、财政局，各有关企事业单位、就业见习基地：</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为贯彻落实国务院、人力资源社会保障部关于进一步做好新形势下就业创业工作的精神，充分发挥就业见习基地帮助高校毕业生提升技能、稳定就业重要作用，现就加快推进我市高校毕业生就业见习工作有关事宜通知如下：</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一、放宽见习基地设立条件</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将《重庆市高校毕业生就业见习暂行实施办法》（以下简称《办法》，</w:t>
            </w:r>
            <w:proofErr w:type="gramStart"/>
            <w:r w:rsidRPr="00F53DD1">
              <w:rPr>
                <w:rFonts w:ascii="宋体" w:eastAsia="宋体" w:hAnsi="宋体" w:cs="宋体" w:hint="eastAsia"/>
                <w:color w:val="151515"/>
                <w:kern w:val="0"/>
                <w:sz w:val="18"/>
                <w:szCs w:val="18"/>
              </w:rPr>
              <w:t>渝人社发</w:t>
            </w:r>
            <w:proofErr w:type="gramEnd"/>
            <w:r w:rsidRPr="00F53DD1">
              <w:rPr>
                <w:rFonts w:ascii="宋体" w:eastAsia="宋体" w:hAnsi="宋体" w:cs="宋体" w:hint="eastAsia"/>
                <w:color w:val="151515"/>
                <w:kern w:val="0"/>
                <w:sz w:val="18"/>
                <w:szCs w:val="18"/>
              </w:rPr>
              <w:t>〔2013〕192号）第九条第三款“每年能提供10个以上具有一定专业知识的见习岗位”等设立条件限制，调整为“能提供一定技术含量和专业技能的见习岗位”，以此支持鼓励小型微型企业、创业服务平台、创业园区、电子商务区以及各类社会机构设立见习基地，扩大见习基地规模，确保有见习需求的高校毕业生都能得到见习机会。</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二、简化见习基地设立程序</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将《办法》第十条“见习基地设立认定制”，调整为备案制。用人单位向所在区县（自治县）公共就业人才服务机构进行备案。中央在渝及市属企事业单位，可直接向市人才交流服务中心进行备案。备案时，线上或线下提交《重庆市高校毕业生就业见习基地备案表》（附件）、企业营业执照或事业单位法</w:t>
            </w:r>
            <w:r w:rsidRPr="00F53DD1">
              <w:rPr>
                <w:rFonts w:ascii="宋体" w:eastAsia="宋体" w:hAnsi="宋体" w:cs="宋体" w:hint="eastAsia"/>
                <w:color w:val="151515"/>
                <w:kern w:val="0"/>
                <w:sz w:val="18"/>
                <w:szCs w:val="18"/>
              </w:rPr>
              <w:lastRenderedPageBreak/>
              <w:t>人证件复印件（加盖单位鲜章）。申请单位和见习岗位面向社会公示，接受社会监督，经过5个工作日公示期满无异议，即备案为就业见习基地。</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三、增加见习人员待遇</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将《办法》第十三条第三款“见习期间，见习基地按月为见习人员发放不低于当地最低工资标准的基本生活补助，并办理不低于每人次50元的人身意外伤害保险”规定，调整为“见习期间，见习基地按月为见习人员发放不低于1500元的基本生活补助，并办理不低于每人次100元的人身意外伤害保险”。</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四、扩大见习人员范围</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将《办法》第十五条“见习人员为离校两年内未就业的高校毕业生、高校毕业学年在校生以及对口支援西藏等地区的高校毕业生”规定，调整为“见习人员为离校两年内未就业的高校毕业生、高校毕业学年在校生、对口支援西藏等地区的高校毕业生，包括自考、成教、电大、函授、远程教育等国家承认其学历大专及以上的毕业两年内未就业毕业生”。</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五、调整就业见习期限</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将《办法》第十六条“见习人员见习期限一般为3—6个月”规定，调整为“见习人员在同一单位见习时间一般为1—6个月”。</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六、提高见习补贴标准</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（一）将现行见习人员每人每月800元的见习补贴标准提高到1000元；     </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（二）鼓励见习基地留用见习人员就业，见习留用就业率达到50%以上的，留用人员见习补贴标准按每人每月1200元执行；</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（三）将现行人身意外伤害险补贴标准由每人次50元提高到100元。</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七、本通知从2015年7月1日起执行。</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b/>
                <w:bCs/>
                <w:color w:val="151515"/>
                <w:kern w:val="0"/>
                <w:sz w:val="18"/>
                <w:szCs w:val="18"/>
              </w:rPr>
              <w:t> </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附件：重庆市高校毕业生就业见习基地备案表</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重庆市人力资源和社会保障局</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重庆市财政局</w:t>
            </w:r>
          </w:p>
          <w:p w:rsidR="00F53DD1" w:rsidRPr="00F53DD1" w:rsidRDefault="00F53DD1" w:rsidP="00F53DD1">
            <w:pPr>
              <w:widowControl/>
              <w:spacing w:before="100" w:beforeAutospacing="1" w:after="100" w:afterAutospacing="1" w:line="360" w:lineRule="atLeast"/>
              <w:ind w:right="360"/>
              <w:jc w:val="righ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2015年6月30日     </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（此件主动公开）</w:t>
            </w:r>
          </w:p>
          <w:p w:rsidR="00F53DD1" w:rsidRPr="00F53DD1" w:rsidRDefault="00F53DD1" w:rsidP="00F53DD1">
            <w:pPr>
              <w:widowControl/>
              <w:spacing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br w:type="textWrapping" w:clear="all"/>
            </w:r>
          </w:p>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6"/>
              <w:gridCol w:w="4138"/>
            </w:tblGrid>
            <w:tr w:rsidR="00F53DD1" w:rsidRPr="00F53DD1">
              <w:trPr>
                <w:tblCellSpacing w:w="0" w:type="dxa"/>
              </w:trPr>
              <w:tc>
                <w:tcPr>
                  <w:tcW w:w="8820" w:type="dxa"/>
                  <w:gridSpan w:val="2"/>
                  <w:tcBorders>
                    <w:top w:val="outset" w:sz="6" w:space="0" w:color="auto"/>
                    <w:left w:val="outset" w:sz="6" w:space="0" w:color="auto"/>
                    <w:bottom w:val="outset" w:sz="6" w:space="0" w:color="auto"/>
                    <w:right w:val="outset" w:sz="6" w:space="0" w:color="auto"/>
                  </w:tcBorders>
                  <w:vAlign w:val="center"/>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r>
            <w:tr w:rsidR="00F53DD1" w:rsidRPr="00F53DD1">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重庆市人力资源和社会保障局办公室</w:t>
                  </w:r>
                </w:p>
              </w:tc>
              <w:tc>
                <w:tcPr>
                  <w:tcW w:w="4485" w:type="dxa"/>
                  <w:tcBorders>
                    <w:top w:val="outset" w:sz="6" w:space="0" w:color="auto"/>
                    <w:left w:val="outset" w:sz="6" w:space="0" w:color="auto"/>
                    <w:bottom w:val="outset" w:sz="6" w:space="0" w:color="auto"/>
                    <w:right w:val="outset" w:sz="6" w:space="0" w:color="auto"/>
                  </w:tcBorders>
                  <w:vAlign w:val="center"/>
                  <w:hideMark/>
                </w:tcPr>
                <w:p w:rsidR="00F53DD1" w:rsidRPr="00F53DD1" w:rsidRDefault="00F53DD1" w:rsidP="00F53DD1">
                  <w:pPr>
                    <w:widowControl/>
                    <w:spacing w:before="100" w:beforeAutospacing="1" w:after="100" w:afterAutospacing="1" w:line="360" w:lineRule="atLeast"/>
                    <w:jc w:val="right"/>
                    <w:rPr>
                      <w:rFonts w:ascii="宋体" w:eastAsia="宋体" w:hAnsi="宋体" w:cs="宋体" w:hint="eastAsia"/>
                      <w:color w:val="151515"/>
                      <w:kern w:val="0"/>
                      <w:sz w:val="18"/>
                      <w:szCs w:val="18"/>
                    </w:rPr>
                  </w:pPr>
                  <w:bookmarkStart w:id="4" w:name="印发时间"/>
                  <w:bookmarkEnd w:id="4"/>
                  <w:r w:rsidRPr="00F53DD1">
                    <w:rPr>
                      <w:rFonts w:ascii="宋体" w:eastAsia="宋体" w:hAnsi="宋体" w:cs="宋体" w:hint="eastAsia"/>
                      <w:color w:val="151515"/>
                      <w:kern w:val="0"/>
                      <w:sz w:val="18"/>
                      <w:szCs w:val="18"/>
                    </w:rPr>
                    <w:t>2015年6月30日印发</w:t>
                  </w:r>
                </w:p>
              </w:tc>
            </w:tr>
          </w:tbl>
          <w:p w:rsidR="00F53DD1" w:rsidRPr="00F53DD1" w:rsidRDefault="00F53DD1" w:rsidP="00F53DD1">
            <w:pPr>
              <w:widowControl/>
              <w:spacing w:before="100" w:beforeAutospacing="1" w:after="100" w:afterAutospacing="1" w:line="360" w:lineRule="atLeast"/>
              <w:jc w:val="left"/>
              <w:rPr>
                <w:rFonts w:ascii="宋体" w:eastAsia="宋体" w:hAnsi="宋体" w:cs="宋体" w:hint="eastAsia"/>
                <w:color w:val="151515"/>
                <w:kern w:val="0"/>
                <w:sz w:val="18"/>
                <w:szCs w:val="18"/>
              </w:rPr>
            </w:pPr>
            <w:r w:rsidRPr="00F53DD1">
              <w:rPr>
                <w:rFonts w:ascii="宋体" w:eastAsia="宋体" w:hAnsi="宋体" w:cs="宋体" w:hint="eastAsia"/>
                <w:color w:val="151515"/>
                <w:kern w:val="0"/>
                <w:sz w:val="18"/>
                <w:szCs w:val="18"/>
              </w:rPr>
              <w:t> </w:t>
            </w:r>
          </w:p>
        </w:tc>
      </w:tr>
    </w:tbl>
    <w:p w:rsidR="006B6E90" w:rsidRDefault="006B6E90"/>
    <w:sectPr w:rsidR="006B6E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D1"/>
    <w:rsid w:val="006B6E90"/>
    <w:rsid w:val="00F5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20631-E32E-46BD-BDB4-E2D81A84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D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2018-05-05T06:45:00Z</dcterms:created>
  <dcterms:modified xsi:type="dcterms:W3CDTF">2018-05-05T06:46:00Z</dcterms:modified>
</cp:coreProperties>
</file>