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CDA" w:rsidRPr="00E24CDA" w:rsidRDefault="00E24CDA" w:rsidP="00E24CDA">
      <w:pPr>
        <w:widowControl/>
        <w:shd w:val="clear" w:color="auto" w:fill="FFFFFF"/>
        <w:spacing w:line="390" w:lineRule="atLeast"/>
        <w:jc w:val="left"/>
        <w:rPr>
          <w:rFonts w:ascii="微软雅黑" w:eastAsia="微软雅黑" w:hAnsi="微软雅黑" w:cs="宋体"/>
          <w:color w:val="000000"/>
          <w:kern w:val="0"/>
          <w:sz w:val="20"/>
          <w:szCs w:val="20"/>
        </w:rPr>
      </w:pPr>
      <w:r w:rsidRPr="00E24CDA">
        <w:rPr>
          <w:rFonts w:ascii="微软雅黑" w:eastAsia="微软雅黑" w:hAnsi="微软雅黑" w:cs="宋体"/>
          <w:color w:val="000000"/>
          <w:kern w:val="0"/>
          <w:sz w:val="20"/>
          <w:szCs w:val="20"/>
        </w:rPr>
        <w:fldChar w:fldCharType="begin"/>
      </w:r>
      <w:r w:rsidRPr="00E24CDA">
        <w:rPr>
          <w:rFonts w:ascii="微软雅黑" w:eastAsia="微软雅黑" w:hAnsi="微软雅黑" w:cs="宋体"/>
          <w:color w:val="000000"/>
          <w:kern w:val="0"/>
          <w:sz w:val="20"/>
          <w:szCs w:val="20"/>
        </w:rPr>
        <w:instrText xml:space="preserve"> HYPERLINK "http://www.cnyc.gov.cn/" </w:instrText>
      </w:r>
      <w:r w:rsidRPr="00E24CDA">
        <w:rPr>
          <w:rFonts w:ascii="微软雅黑" w:eastAsia="微软雅黑" w:hAnsi="微软雅黑" w:cs="宋体"/>
          <w:color w:val="000000"/>
          <w:kern w:val="0"/>
          <w:sz w:val="20"/>
          <w:szCs w:val="20"/>
        </w:rPr>
        <w:fldChar w:fldCharType="separate"/>
      </w:r>
      <w:r w:rsidRPr="00E24CDA">
        <w:rPr>
          <w:rFonts w:ascii="微软雅黑" w:eastAsia="微软雅黑" w:hAnsi="微软雅黑" w:cs="宋体" w:hint="eastAsia"/>
          <w:color w:val="000000"/>
          <w:kern w:val="0"/>
          <w:sz w:val="20"/>
          <w:szCs w:val="20"/>
        </w:rPr>
        <w:br/>
        <w:t>首页</w:t>
      </w:r>
      <w:r w:rsidRPr="00E24CDA">
        <w:rPr>
          <w:rFonts w:ascii="微软雅黑" w:eastAsia="微软雅黑" w:hAnsi="微软雅黑" w:cs="宋体"/>
          <w:color w:val="000000"/>
          <w:kern w:val="0"/>
          <w:sz w:val="20"/>
          <w:szCs w:val="20"/>
        </w:rPr>
        <w:fldChar w:fldCharType="end"/>
      </w:r>
      <w:r w:rsidRPr="00E24CDA">
        <w:rPr>
          <w:rFonts w:ascii="微软雅黑" w:eastAsia="微软雅黑" w:hAnsi="微软雅黑" w:cs="宋体" w:hint="eastAsia"/>
          <w:color w:val="000000"/>
          <w:kern w:val="0"/>
          <w:sz w:val="20"/>
          <w:szCs w:val="20"/>
        </w:rPr>
        <w:t> &gt; </w:t>
      </w:r>
      <w:hyperlink r:id="rId4" w:history="1">
        <w:r w:rsidRPr="00E24CDA">
          <w:rPr>
            <w:rFonts w:ascii="微软雅黑" w:eastAsia="微软雅黑" w:hAnsi="微软雅黑" w:cs="宋体" w:hint="eastAsia"/>
            <w:color w:val="000000"/>
            <w:kern w:val="0"/>
            <w:sz w:val="20"/>
            <w:szCs w:val="20"/>
          </w:rPr>
          <w:t>政务公开</w:t>
        </w:r>
      </w:hyperlink>
      <w:r w:rsidRPr="00E24CDA">
        <w:rPr>
          <w:rFonts w:ascii="微软雅黑" w:eastAsia="微软雅黑" w:hAnsi="微软雅黑" w:cs="宋体" w:hint="eastAsia"/>
          <w:color w:val="000000"/>
          <w:kern w:val="0"/>
          <w:sz w:val="20"/>
          <w:szCs w:val="20"/>
        </w:rPr>
        <w:t> &gt; </w:t>
      </w:r>
      <w:hyperlink r:id="rId5" w:history="1">
        <w:r w:rsidRPr="00E24CDA">
          <w:rPr>
            <w:rFonts w:ascii="微软雅黑" w:eastAsia="微软雅黑" w:hAnsi="微软雅黑" w:cs="宋体" w:hint="eastAsia"/>
            <w:color w:val="000000"/>
            <w:kern w:val="0"/>
            <w:sz w:val="20"/>
            <w:szCs w:val="20"/>
          </w:rPr>
          <w:t>法规文件</w:t>
        </w:r>
      </w:hyperlink>
      <w:r w:rsidRPr="00E24CDA">
        <w:rPr>
          <w:rFonts w:ascii="微软雅黑" w:eastAsia="微软雅黑" w:hAnsi="微软雅黑" w:cs="宋体" w:hint="eastAsia"/>
          <w:color w:val="000000"/>
          <w:kern w:val="0"/>
          <w:sz w:val="20"/>
          <w:szCs w:val="20"/>
        </w:rPr>
        <w:t> &gt; </w:t>
      </w:r>
      <w:hyperlink r:id="rId6" w:history="1">
        <w:r w:rsidRPr="00E24CDA">
          <w:rPr>
            <w:rFonts w:ascii="微软雅黑" w:eastAsia="微软雅黑" w:hAnsi="微软雅黑" w:cs="宋体" w:hint="eastAsia"/>
            <w:color w:val="000000"/>
            <w:kern w:val="0"/>
            <w:sz w:val="20"/>
            <w:szCs w:val="20"/>
          </w:rPr>
          <w:t>政策文件</w:t>
        </w:r>
      </w:hyperlink>
      <w:r w:rsidRPr="00E24CDA">
        <w:rPr>
          <w:rFonts w:ascii="微软雅黑" w:eastAsia="微软雅黑" w:hAnsi="微软雅黑" w:cs="宋体" w:hint="eastAsia"/>
          <w:color w:val="000000"/>
          <w:kern w:val="0"/>
          <w:sz w:val="20"/>
          <w:szCs w:val="20"/>
        </w:rPr>
        <w:t> &gt; 详情</w:t>
      </w:r>
    </w:p>
    <w:tbl>
      <w:tblPr>
        <w:tblW w:w="5000" w:type="pct"/>
        <w:shd w:val="clear" w:color="auto" w:fill="FFFFFF"/>
        <w:tblCellMar>
          <w:left w:w="0" w:type="dxa"/>
          <w:right w:w="0" w:type="dxa"/>
        </w:tblCellMar>
        <w:tblLook w:val="04A0" w:firstRow="1" w:lastRow="0" w:firstColumn="1" w:lastColumn="0" w:noHBand="0" w:noVBand="1"/>
      </w:tblPr>
      <w:tblGrid>
        <w:gridCol w:w="8306"/>
      </w:tblGrid>
      <w:tr w:rsidR="00E24CDA" w:rsidRPr="00E24CDA" w:rsidTr="00E24CDA">
        <w:tc>
          <w:tcPr>
            <w:tcW w:w="0" w:type="auto"/>
            <w:shd w:val="clear" w:color="auto" w:fill="FFFFFF"/>
            <w:hideMark/>
          </w:tcPr>
          <w:tbl>
            <w:tblPr>
              <w:tblW w:w="10020" w:type="dxa"/>
              <w:jc w:val="center"/>
              <w:shd w:val="clear" w:color="auto" w:fill="FFFFFF"/>
              <w:tblCellMar>
                <w:left w:w="0" w:type="dxa"/>
                <w:right w:w="0" w:type="dxa"/>
              </w:tblCellMar>
              <w:tblLook w:val="04A0" w:firstRow="1" w:lastRow="0" w:firstColumn="1" w:lastColumn="0" w:noHBand="0" w:noVBand="1"/>
            </w:tblPr>
            <w:tblGrid>
              <w:gridCol w:w="240"/>
              <w:gridCol w:w="9774"/>
              <w:gridCol w:w="6"/>
            </w:tblGrid>
            <w:tr w:rsidR="00E24CDA" w:rsidRPr="00E24CDA">
              <w:trPr>
                <w:trHeight w:val="200"/>
                <w:jc w:val="center"/>
              </w:trPr>
              <w:tc>
                <w:tcPr>
                  <w:tcW w:w="0" w:type="auto"/>
                  <w:gridSpan w:val="3"/>
                  <w:shd w:val="clear" w:color="auto" w:fill="FFFFFF"/>
                  <w:vAlign w:val="center"/>
                  <w:hideMark/>
                </w:tcPr>
                <w:p w:rsidR="00E24CDA" w:rsidRPr="00E24CDA" w:rsidRDefault="00E24CDA" w:rsidP="00E24CDA">
                  <w:pPr>
                    <w:widowControl/>
                    <w:shd w:val="clear" w:color="auto" w:fill="FFFFFF"/>
                    <w:spacing w:line="390" w:lineRule="atLeast"/>
                    <w:jc w:val="left"/>
                    <w:rPr>
                      <w:rFonts w:ascii="微软雅黑" w:eastAsia="微软雅黑" w:hAnsi="微软雅黑" w:cs="宋体" w:hint="eastAsia"/>
                      <w:color w:val="000000"/>
                      <w:kern w:val="0"/>
                      <w:sz w:val="20"/>
                      <w:szCs w:val="20"/>
                    </w:rPr>
                  </w:pPr>
                </w:p>
              </w:tc>
            </w:tr>
            <w:tr w:rsidR="00E24CDA" w:rsidRPr="00E24CDA">
              <w:trPr>
                <w:trHeight w:val="4000"/>
                <w:jc w:val="center"/>
              </w:trPr>
              <w:tc>
                <w:tcPr>
                  <w:tcW w:w="100" w:type="dxa"/>
                  <w:shd w:val="clear" w:color="auto" w:fill="FFFFFF"/>
                  <w:vAlign w:val="center"/>
                  <w:hideMark/>
                </w:tcPr>
                <w:p w:rsidR="00E24CDA" w:rsidRPr="00E24CDA" w:rsidRDefault="00E24CDA" w:rsidP="00E24CDA">
                  <w:pPr>
                    <w:widowControl/>
                    <w:jc w:val="left"/>
                    <w:rPr>
                      <w:rFonts w:ascii="宋体" w:eastAsia="宋体" w:hAnsi="宋体" w:cs="宋体"/>
                      <w:kern w:val="0"/>
                      <w:sz w:val="24"/>
                      <w:szCs w:val="24"/>
                    </w:rPr>
                  </w:pPr>
                  <w:r w:rsidRPr="00E24CDA">
                    <w:rPr>
                      <w:rFonts w:ascii="宋体" w:eastAsia="宋体" w:hAnsi="宋体" w:cs="宋体"/>
                      <w:kern w:val="0"/>
                      <w:sz w:val="24"/>
                      <w:szCs w:val="24"/>
                    </w:rPr>
                    <w:t> </w:t>
                  </w:r>
                </w:p>
              </w:tc>
              <w:tc>
                <w:tcPr>
                  <w:tcW w:w="0" w:type="auto"/>
                  <w:shd w:val="clear" w:color="auto" w:fill="FFFFFF"/>
                  <w:hideMark/>
                </w:tcPr>
                <w:tbl>
                  <w:tblPr>
                    <w:tblW w:w="4750" w:type="pct"/>
                    <w:jc w:val="center"/>
                    <w:tblCellMar>
                      <w:left w:w="0" w:type="dxa"/>
                      <w:right w:w="0" w:type="dxa"/>
                    </w:tblCellMar>
                    <w:tblLook w:val="04A0" w:firstRow="1" w:lastRow="0" w:firstColumn="1" w:lastColumn="0" w:noHBand="0" w:noVBand="1"/>
                  </w:tblPr>
                  <w:tblGrid>
                    <w:gridCol w:w="9270"/>
                  </w:tblGrid>
                  <w:tr w:rsidR="00E24CDA" w:rsidRPr="00E24CDA">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1851"/>
                          <w:gridCol w:w="2776"/>
                          <w:gridCol w:w="1851"/>
                          <w:gridCol w:w="2776"/>
                        </w:tblGrid>
                        <w:tr w:rsidR="00E24CDA" w:rsidRPr="00E24CDA">
                          <w:trPr>
                            <w:trHeight w:val="320"/>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E24CDA" w:rsidRPr="00E24CDA" w:rsidRDefault="00E24CDA" w:rsidP="00E24CDA">
                              <w:pPr>
                                <w:widowControl/>
                                <w:jc w:val="center"/>
                                <w:rPr>
                                  <w:rFonts w:ascii="微软雅黑" w:eastAsia="微软雅黑" w:hAnsi="微软雅黑" w:cs="宋体"/>
                                  <w:b/>
                                  <w:bCs/>
                                  <w:color w:val="333333"/>
                                  <w:kern w:val="0"/>
                                  <w:szCs w:val="21"/>
                                </w:rPr>
                              </w:pPr>
                              <w:r w:rsidRPr="00E24CDA">
                                <w:rPr>
                                  <w:rFonts w:ascii="微软雅黑" w:eastAsia="微软雅黑" w:hAnsi="微软雅黑" w:cs="宋体" w:hint="eastAsia"/>
                                  <w:b/>
                                  <w:bCs/>
                                  <w:color w:val="333333"/>
                                  <w:kern w:val="0"/>
                                  <w:szCs w:val="21"/>
                                </w:rPr>
                                <w:t>索引号</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E24CDA" w:rsidRPr="00E24CDA" w:rsidRDefault="00E24CDA" w:rsidP="00E24CDA">
                              <w:pPr>
                                <w:widowControl/>
                                <w:jc w:val="left"/>
                                <w:rPr>
                                  <w:rFonts w:ascii="微软雅黑" w:eastAsia="微软雅黑" w:hAnsi="微软雅黑" w:cs="宋体" w:hint="eastAsia"/>
                                  <w:color w:val="333333"/>
                                  <w:kern w:val="0"/>
                                  <w:szCs w:val="21"/>
                                </w:rPr>
                              </w:pPr>
                              <w:r w:rsidRPr="00E24CDA">
                                <w:rPr>
                                  <w:rFonts w:ascii="微软雅黑" w:eastAsia="微软雅黑" w:hAnsi="微软雅黑" w:cs="宋体" w:hint="eastAsia"/>
                                  <w:color w:val="333333"/>
                                  <w:kern w:val="0"/>
                                  <w:szCs w:val="21"/>
                                </w:rPr>
                                <w:t>YC1712-2015-2024</w:t>
                              </w:r>
                            </w:p>
                          </w:tc>
                          <w:tc>
                            <w:tcPr>
                              <w:tcW w:w="1000" w:type="pct"/>
                              <w:tcBorders>
                                <w:top w:val="single" w:sz="6" w:space="0" w:color="CCCCCC"/>
                                <w:bottom w:val="single" w:sz="6" w:space="0" w:color="CCCCCC"/>
                              </w:tcBorders>
                              <w:vAlign w:val="center"/>
                              <w:hideMark/>
                            </w:tcPr>
                            <w:p w:rsidR="00E24CDA" w:rsidRPr="00E24CDA" w:rsidRDefault="00E24CDA" w:rsidP="00E24CDA">
                              <w:pPr>
                                <w:widowControl/>
                                <w:jc w:val="center"/>
                                <w:rPr>
                                  <w:rFonts w:ascii="微软雅黑" w:eastAsia="微软雅黑" w:hAnsi="微软雅黑" w:cs="宋体" w:hint="eastAsia"/>
                                  <w:b/>
                                  <w:bCs/>
                                  <w:color w:val="333333"/>
                                  <w:kern w:val="0"/>
                                  <w:szCs w:val="21"/>
                                </w:rPr>
                              </w:pPr>
                              <w:r w:rsidRPr="00E24CDA">
                                <w:rPr>
                                  <w:rFonts w:ascii="微软雅黑" w:eastAsia="微软雅黑" w:hAnsi="微软雅黑" w:cs="宋体" w:hint="eastAsia"/>
                                  <w:b/>
                                  <w:bCs/>
                                  <w:color w:val="333333"/>
                                  <w:kern w:val="0"/>
                                  <w:szCs w:val="21"/>
                                </w:rPr>
                                <w:t>文件编号</w:t>
                              </w:r>
                            </w:p>
                          </w:tc>
                          <w:tc>
                            <w:tcPr>
                              <w:tcW w:w="1500" w:type="pct"/>
                              <w:tcBorders>
                                <w:top w:val="single" w:sz="6" w:space="0" w:color="CCCCCC"/>
                                <w:left w:val="single" w:sz="6" w:space="0" w:color="CCCCCC"/>
                                <w:bottom w:val="single" w:sz="6" w:space="0" w:color="CCCCCC"/>
                                <w:right w:val="single" w:sz="6" w:space="0" w:color="CCCCCC"/>
                              </w:tcBorders>
                              <w:tcMar>
                                <w:top w:w="0" w:type="dxa"/>
                                <w:left w:w="150" w:type="dxa"/>
                                <w:bottom w:w="0" w:type="dxa"/>
                                <w:right w:w="0" w:type="dxa"/>
                              </w:tcMar>
                              <w:vAlign w:val="center"/>
                              <w:hideMark/>
                            </w:tcPr>
                            <w:p w:rsidR="00E24CDA" w:rsidRPr="00E24CDA" w:rsidRDefault="00E24CDA" w:rsidP="00E24CDA">
                              <w:pPr>
                                <w:widowControl/>
                                <w:jc w:val="left"/>
                                <w:rPr>
                                  <w:rFonts w:ascii="微软雅黑" w:eastAsia="微软雅黑" w:hAnsi="微软雅黑" w:cs="宋体" w:hint="eastAsia"/>
                                  <w:color w:val="333333"/>
                                  <w:kern w:val="0"/>
                                  <w:szCs w:val="21"/>
                                </w:rPr>
                              </w:pPr>
                              <w:r w:rsidRPr="00E24CDA">
                                <w:rPr>
                                  <w:rFonts w:ascii="微软雅黑" w:eastAsia="微软雅黑" w:hAnsi="微软雅黑" w:cs="宋体" w:hint="eastAsia"/>
                                  <w:color w:val="333333"/>
                                  <w:kern w:val="0"/>
                                  <w:szCs w:val="21"/>
                                </w:rPr>
                                <w:t>20171220847180</w:t>
                              </w:r>
                            </w:p>
                          </w:tc>
                        </w:tr>
                      </w:tbl>
                      <w:p w:rsidR="00E24CDA" w:rsidRPr="00E24CDA" w:rsidRDefault="00E24CDA" w:rsidP="00E24CDA">
                        <w:pPr>
                          <w:widowControl/>
                          <w:jc w:val="left"/>
                          <w:rPr>
                            <w:rFonts w:ascii="宋体" w:eastAsia="宋体" w:hAnsi="宋体" w:cs="宋体" w:hint="eastAsia"/>
                            <w:kern w:val="0"/>
                            <w:sz w:val="24"/>
                            <w:szCs w:val="24"/>
                          </w:rPr>
                        </w:pPr>
                      </w:p>
                    </w:tc>
                  </w:tr>
                  <w:tr w:rsidR="00E24CDA" w:rsidRPr="00E24CDA">
                    <w:trPr>
                      <w:trHeight w:val="150"/>
                      <w:jc w:val="center"/>
                    </w:trPr>
                    <w:tc>
                      <w:tcPr>
                        <w:tcW w:w="0" w:type="auto"/>
                        <w:vAlign w:val="center"/>
                        <w:hideMark/>
                      </w:tcPr>
                      <w:p w:rsidR="00E24CDA" w:rsidRPr="00E24CDA" w:rsidRDefault="00E24CDA" w:rsidP="00E24CDA">
                        <w:pPr>
                          <w:widowControl/>
                          <w:jc w:val="left"/>
                          <w:rPr>
                            <w:rFonts w:ascii="Times New Roman" w:eastAsia="Times New Roman" w:hAnsi="Times New Roman" w:cs="Times New Roman"/>
                            <w:kern w:val="0"/>
                            <w:sz w:val="20"/>
                            <w:szCs w:val="20"/>
                          </w:rPr>
                        </w:pPr>
                      </w:p>
                    </w:tc>
                  </w:tr>
                  <w:tr w:rsidR="00E24CDA" w:rsidRPr="00E24CDA">
                    <w:trPr>
                      <w:jc w:val="center"/>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970"/>
                        </w:tblGrid>
                        <w:tr w:rsidR="00E24CDA" w:rsidRPr="00E24CDA">
                          <w:trPr>
                            <w:trHeight w:val="400"/>
                          </w:trPr>
                          <w:tc>
                            <w:tcPr>
                              <w:tcW w:w="0" w:type="auto"/>
                              <w:vAlign w:val="center"/>
                              <w:hideMark/>
                            </w:tcPr>
                            <w:p w:rsidR="00E24CDA" w:rsidRPr="00E24CDA" w:rsidRDefault="00E24CDA" w:rsidP="00E24CDA">
                              <w:pPr>
                                <w:widowControl/>
                                <w:spacing w:line="495" w:lineRule="atLeast"/>
                                <w:jc w:val="center"/>
                                <w:rPr>
                                  <w:rFonts w:ascii="宋体" w:eastAsia="宋体" w:hAnsi="宋体" w:cs="宋体"/>
                                  <w:b/>
                                  <w:bCs/>
                                  <w:color w:val="000000"/>
                                  <w:kern w:val="0"/>
                                  <w:sz w:val="33"/>
                                  <w:szCs w:val="33"/>
                                </w:rPr>
                              </w:pPr>
                              <w:bookmarkStart w:id="0" w:name="_GoBack" w:colFirst="0" w:colLast="0"/>
                              <w:r w:rsidRPr="00E24CDA">
                                <w:rPr>
                                  <w:rFonts w:ascii="宋体" w:eastAsia="宋体" w:hAnsi="宋体" w:cs="宋体"/>
                                  <w:b/>
                                  <w:bCs/>
                                  <w:color w:val="000000"/>
                                  <w:kern w:val="0"/>
                                  <w:sz w:val="33"/>
                                  <w:szCs w:val="33"/>
                                </w:rPr>
                                <w:t>郓城县招商引资优惠政策（试行）</w:t>
                              </w:r>
                            </w:p>
                          </w:tc>
                        </w:tr>
                        <w:tr w:rsidR="00E24CDA" w:rsidRPr="00E24CDA">
                          <w:trPr>
                            <w:trHeight w:val="100"/>
                          </w:trPr>
                          <w:tc>
                            <w:tcPr>
                              <w:tcW w:w="0" w:type="auto"/>
                              <w:tcBorders>
                                <w:bottom w:val="single" w:sz="6" w:space="0" w:color="CCCCCC"/>
                              </w:tcBorders>
                              <w:vAlign w:val="center"/>
                              <w:hideMark/>
                            </w:tcPr>
                            <w:p w:rsidR="00E24CDA" w:rsidRPr="00E24CDA" w:rsidRDefault="00E24CDA" w:rsidP="00E24CDA">
                              <w:pPr>
                                <w:widowControl/>
                                <w:spacing w:line="495" w:lineRule="atLeast"/>
                                <w:jc w:val="center"/>
                                <w:rPr>
                                  <w:rFonts w:ascii="宋体" w:eastAsia="宋体" w:hAnsi="宋体" w:cs="宋体"/>
                                  <w:b/>
                                  <w:bCs/>
                                  <w:color w:val="000000"/>
                                  <w:kern w:val="0"/>
                                  <w:sz w:val="33"/>
                                  <w:szCs w:val="33"/>
                                </w:rPr>
                              </w:pPr>
                            </w:p>
                          </w:tc>
                        </w:tr>
                        <w:bookmarkEnd w:id="0"/>
                        <w:tr w:rsidR="00E24CDA" w:rsidRPr="00E24CDA">
                          <w:tc>
                            <w:tcPr>
                              <w:tcW w:w="0" w:type="auto"/>
                              <w:tcMar>
                                <w:top w:w="150" w:type="dxa"/>
                                <w:left w:w="0" w:type="dxa"/>
                                <w:bottom w:w="0" w:type="dxa"/>
                                <w:right w:w="0" w:type="dxa"/>
                              </w:tcMar>
                              <w:hideMark/>
                            </w:tcPr>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为全面实施工业强县战略，进一步完善招商引资制度体系，优化投资环境，促进郓城经济持续健康快速发展，根据国家法律、法规和上级有关政策规定，结合我县实际，制定本优惠政策。</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一、用地政策</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第一条　加大工业用地供应支持，年度计划用地指标优先用于战略性新兴产业、生产性服务业等重点建设项目。</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第二条　对符合节约集约用地要求、属于国家鼓励类产业的工业用地，土地出让金原则上按照每亩10万元（不含契税、耕地占用税）缴纳。</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第三条　对有基准地价地区协议出让的最低价不得低于出让土地所在级别基准地价的70%。</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第四条　对本企业利用旧厂房、厂区进行升级改造的，免除各项审批费用。</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二、财政政策</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第五条　积极为项目单位争取上级预算内补助资金，优先安排县级预算内相关资金予以扶持。</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lastRenderedPageBreak/>
                                <w:t>第六条　设立招商引资企业扶持专项资金（以下简称“专项资金”），用于支持招商引资企业发展。</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1、专项资金的筹集，从上一年度招商引资企业缴纳的土地出让金纯收益和税收收入县级财政中筹集。</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2、专项资金主要用于县经济开发区新投资项目的“七通一平”等基础设施建设，招商引资企业在技术创新、人才引进等方面的奖励，对招商引资有突出贡献的各类商协会、中介组织和个人的奖励。</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第七条　根据新落地企业前三年对地方财政税收的贡献额给予适当资金扶持。第一年按照地方财政留成部分的60%予以扶持，第二年按照地方财政留成部分的50%予以扶持，第三年按照地方财政留成部分的40%予以扶持。</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第八条　对招商引资企业，首次年度入库税金超过500万元的，按实际入库税金总额的2%给予总量奖；对入库税金已超过1000万元的，按新增部分的6%给予增量奖。每个企业奖金总额最高不超过100万元。</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三、税收政策</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第九条　对国家重点扶持的高新技术企业，减按15％的税率征收企业所得税。企业为开发新技术、新产品、新工艺发生的研究开发费用，未形成无形资产计入当期损益的，在按照规定据实扣除的基础上，按照研究开发费用的75%加计扣除，形成无形资产的，按照无形资产成本的150%摊销。</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第十条　企业从事公路、铁路、电力、水利、城市公共交通、港口码头等国家重点扶持的公共基础设施项目的投资经营所得，</w:t>
                              </w:r>
                              <w:proofErr w:type="gramStart"/>
                              <w:r w:rsidRPr="00E24CDA">
                                <w:rPr>
                                  <w:rFonts w:ascii="宋体" w:eastAsia="宋体" w:hAnsi="宋体" w:cs="宋体" w:hint="eastAsia"/>
                                  <w:color w:val="000000"/>
                                  <w:kern w:val="0"/>
                                  <w:sz w:val="28"/>
                                  <w:szCs w:val="28"/>
                                </w:rPr>
                                <w:t>自项目</w:t>
                              </w:r>
                              <w:proofErr w:type="gramEnd"/>
                              <w:r w:rsidRPr="00E24CDA">
                                <w:rPr>
                                  <w:rFonts w:ascii="宋体" w:eastAsia="宋体" w:hAnsi="宋体" w:cs="宋体" w:hint="eastAsia"/>
                                  <w:color w:val="000000"/>
                                  <w:kern w:val="0"/>
                                  <w:sz w:val="28"/>
                                  <w:szCs w:val="28"/>
                                </w:rPr>
                                <w:t>取得第一</w:t>
                              </w:r>
                              <w:r w:rsidRPr="00E24CDA">
                                <w:rPr>
                                  <w:rFonts w:ascii="宋体" w:eastAsia="宋体" w:hAnsi="宋体" w:cs="宋体" w:hint="eastAsia"/>
                                  <w:color w:val="000000"/>
                                  <w:kern w:val="0"/>
                                  <w:sz w:val="28"/>
                                  <w:szCs w:val="28"/>
                                </w:rPr>
                                <w:lastRenderedPageBreak/>
                                <w:t>笔生产经营收入所属纳税年度起，第1年至第3年免征企业所得税，第4年至第6年减半征收企业所得税。</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第十一条　企业通过合并、分立、出售、置换等方式，整体或部分转让实物资产并同时转让债权、负债和劳动力的，涉及的货物转让不征增值税，涉及的不动产、土地使用权转让暂不征增值税。</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第十二条　企业整体改制涉及的国有土地、房屋权属转移、变更的，暂不征土地增值税，承受方免征契税，符合条件的企业因改制签订的产权转移书据免征印花税。</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第十三条　企业综合利用资源，生产符合国家产业政策规定的产品取得的应税收入，减按90%计入收入总额计算缴纳企业所得税。</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四、收费政策</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第十四条　所有涉</w:t>
                              </w:r>
                              <w:proofErr w:type="gramStart"/>
                              <w:r w:rsidRPr="00E24CDA">
                                <w:rPr>
                                  <w:rFonts w:ascii="宋体" w:eastAsia="宋体" w:hAnsi="宋体" w:cs="宋体" w:hint="eastAsia"/>
                                  <w:color w:val="000000"/>
                                  <w:kern w:val="0"/>
                                  <w:sz w:val="28"/>
                                  <w:szCs w:val="28"/>
                                </w:rPr>
                                <w:t>企行政</w:t>
                              </w:r>
                              <w:proofErr w:type="gramEnd"/>
                              <w:r w:rsidRPr="00E24CDA">
                                <w:rPr>
                                  <w:rFonts w:ascii="宋体" w:eastAsia="宋体" w:hAnsi="宋体" w:cs="宋体" w:hint="eastAsia"/>
                                  <w:color w:val="000000"/>
                                  <w:kern w:val="0"/>
                                  <w:sz w:val="28"/>
                                  <w:szCs w:val="28"/>
                                </w:rPr>
                                <w:t>事业性收费，凡国家、省收费标准有上下限幅度的，一律执行下限标准；所有涉</w:t>
                              </w:r>
                              <w:proofErr w:type="gramStart"/>
                              <w:r w:rsidRPr="00E24CDA">
                                <w:rPr>
                                  <w:rFonts w:ascii="宋体" w:eastAsia="宋体" w:hAnsi="宋体" w:cs="宋体" w:hint="eastAsia"/>
                                  <w:color w:val="000000"/>
                                  <w:kern w:val="0"/>
                                  <w:sz w:val="28"/>
                                  <w:szCs w:val="28"/>
                                </w:rPr>
                                <w:t>企价格</w:t>
                              </w:r>
                              <w:proofErr w:type="gramEnd"/>
                              <w:r w:rsidRPr="00E24CDA">
                                <w:rPr>
                                  <w:rFonts w:ascii="宋体" w:eastAsia="宋体" w:hAnsi="宋体" w:cs="宋体" w:hint="eastAsia"/>
                                  <w:color w:val="000000"/>
                                  <w:kern w:val="0"/>
                                  <w:sz w:val="28"/>
                                  <w:szCs w:val="28"/>
                                </w:rPr>
                                <w:t>认定全免费。</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第十五条　涉企服务价格执行有区别的收费政策，对工业和现代服务业收费，按不高于国家、省规定价格下限的50%执行；对传统服务业收费，按不高于国家、省规定价格下限的60%执行；对房地产企业收费，按不高于国家、省规定价格下限的70%执行。以上各</w:t>
                              </w:r>
                              <w:proofErr w:type="gramStart"/>
                              <w:r w:rsidRPr="00E24CDA">
                                <w:rPr>
                                  <w:rFonts w:ascii="宋体" w:eastAsia="宋体" w:hAnsi="宋体" w:cs="宋体" w:hint="eastAsia"/>
                                  <w:color w:val="000000"/>
                                  <w:kern w:val="0"/>
                                  <w:sz w:val="28"/>
                                  <w:szCs w:val="28"/>
                                </w:rPr>
                                <w:t>类调整</w:t>
                              </w:r>
                              <w:proofErr w:type="gramEnd"/>
                              <w:r w:rsidRPr="00E24CDA">
                                <w:rPr>
                                  <w:rFonts w:ascii="宋体" w:eastAsia="宋体" w:hAnsi="宋体" w:cs="宋体" w:hint="eastAsia"/>
                                  <w:color w:val="000000"/>
                                  <w:kern w:val="0"/>
                                  <w:sz w:val="28"/>
                                  <w:szCs w:val="28"/>
                                </w:rPr>
                                <w:t>后的价格高于现行价格的，一律按现行实际价格执行。</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第十六条　对新投资项目的水、电、</w:t>
                              </w:r>
                              <w:proofErr w:type="gramStart"/>
                              <w:r w:rsidRPr="00E24CDA">
                                <w:rPr>
                                  <w:rFonts w:ascii="宋体" w:eastAsia="宋体" w:hAnsi="宋体" w:cs="宋体" w:hint="eastAsia"/>
                                  <w:color w:val="000000"/>
                                  <w:kern w:val="0"/>
                                  <w:sz w:val="28"/>
                                  <w:szCs w:val="28"/>
                                </w:rPr>
                                <w:t>气城市</w:t>
                              </w:r>
                              <w:proofErr w:type="gramEnd"/>
                              <w:r w:rsidRPr="00E24CDA">
                                <w:rPr>
                                  <w:rFonts w:ascii="宋体" w:eastAsia="宋体" w:hAnsi="宋体" w:cs="宋体" w:hint="eastAsia"/>
                                  <w:color w:val="000000"/>
                                  <w:kern w:val="0"/>
                                  <w:sz w:val="28"/>
                                  <w:szCs w:val="28"/>
                                </w:rPr>
                                <w:t>基础设施配套费由财政负担。战略性新兴产业、列入省重点的项目，水、电、气使用价格享受10%的</w:t>
                              </w:r>
                              <w:r w:rsidRPr="00E24CDA">
                                <w:rPr>
                                  <w:rFonts w:ascii="宋体" w:eastAsia="宋体" w:hAnsi="宋体" w:cs="宋体" w:hint="eastAsia"/>
                                  <w:color w:val="000000"/>
                                  <w:kern w:val="0"/>
                                  <w:sz w:val="28"/>
                                  <w:szCs w:val="28"/>
                                </w:rPr>
                                <w:lastRenderedPageBreak/>
                                <w:t>优惠；符合本地产业政策、列入市重点的项目，水、电、气使用价格享受5%的优惠，优惠部分由价格调节基金解决。</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五、人才政策</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第十七条　鼓励企业人才引进，对引进国家级产业领军人才的，每引进1人给予企业50万元奖励补贴；对引进</w:t>
                              </w:r>
                              <w:proofErr w:type="gramStart"/>
                              <w:r w:rsidRPr="00E24CDA">
                                <w:rPr>
                                  <w:rFonts w:ascii="宋体" w:eastAsia="宋体" w:hAnsi="宋体" w:cs="宋体" w:hint="eastAsia"/>
                                  <w:color w:val="000000"/>
                                  <w:kern w:val="0"/>
                                  <w:sz w:val="28"/>
                                  <w:szCs w:val="28"/>
                                </w:rPr>
                                <w:t>省级产业</w:t>
                              </w:r>
                              <w:proofErr w:type="gramEnd"/>
                              <w:r w:rsidRPr="00E24CDA">
                                <w:rPr>
                                  <w:rFonts w:ascii="宋体" w:eastAsia="宋体" w:hAnsi="宋体" w:cs="宋体" w:hint="eastAsia"/>
                                  <w:color w:val="000000"/>
                                  <w:kern w:val="0"/>
                                  <w:sz w:val="28"/>
                                  <w:szCs w:val="28"/>
                                </w:rPr>
                                <w:t>领军人才的，每引进1人给予企业20万元奖励补贴；对引进科技研发团队（5人及以上）的，每引进1个给予企业30万元奖励补贴；对企业新设的博士后科研工作站给予50万元的启动资金资助；对博士后科研工作站在站的博士后科研人才，给予每人每月3000元的博士后津贴，并择优提供10万元的科研项目启动经费。</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第十八条　优先筛选招商引资重点企业（项目）负责人参加政府统一组织的企业培训。县财政每年安排预算资金100万元，组织具有开拓创新精神的企业家，到高等院校进行系统培训，到行业内优秀企业实地参观学习。</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第十九条　对固定资产投资1亿元以上的招商引资项目，县人力资源和社会保障部门</w:t>
                              </w:r>
                              <w:proofErr w:type="gramStart"/>
                              <w:r w:rsidRPr="00E24CDA">
                                <w:rPr>
                                  <w:rFonts w:ascii="宋体" w:eastAsia="宋体" w:hAnsi="宋体" w:cs="宋体" w:hint="eastAsia"/>
                                  <w:color w:val="000000"/>
                                  <w:kern w:val="0"/>
                                  <w:sz w:val="28"/>
                                  <w:szCs w:val="28"/>
                                </w:rPr>
                                <w:t>无偿对</w:t>
                              </w:r>
                              <w:proofErr w:type="gramEnd"/>
                              <w:r w:rsidRPr="00E24CDA">
                                <w:rPr>
                                  <w:rFonts w:ascii="宋体" w:eastAsia="宋体" w:hAnsi="宋体" w:cs="宋体" w:hint="eastAsia"/>
                                  <w:color w:val="000000"/>
                                  <w:kern w:val="0"/>
                                  <w:sz w:val="28"/>
                                  <w:szCs w:val="28"/>
                                </w:rPr>
                                <w:t>企业签订6个月以上劳动合同的员工进行岗前培训。</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第二十条　对当年扩大主导产业生产规模、用工规范的企业，优先享受用工服务、用工推介、技能培训、评先评优等支持奖励政策。</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第二十一条　引进的高层次人才工作满一年，取得突出业绩的，可破格申报高一级的专业技术职务；对急需的高层次人才，不受岗位总量、最</w:t>
                              </w:r>
                              <w:r w:rsidRPr="00E24CDA">
                                <w:rPr>
                                  <w:rFonts w:ascii="宋体" w:eastAsia="宋体" w:hAnsi="宋体" w:cs="宋体" w:hint="eastAsia"/>
                                  <w:color w:val="000000"/>
                                  <w:kern w:val="0"/>
                                  <w:sz w:val="28"/>
                                  <w:szCs w:val="28"/>
                                </w:rPr>
                                <w:lastRenderedPageBreak/>
                                <w:t>高等级和结构比例的限制，可特设岗位进行聘用；引进的高层次人才不影响单位其他人员的专业技术职务评聘。</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第二十二条　支持和鼓励事业单位选派专业技术人员到企业挂职或者参与项目合作、兼职创新或者在职创办企业、离岗创新创业，支持和鼓励事业单位设置创新型岗位。</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六、政务服务</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第二十三条　对新投资项目实行全程服务机制，</w:t>
                              </w:r>
                              <w:proofErr w:type="gramStart"/>
                              <w:r w:rsidRPr="00E24CDA">
                                <w:rPr>
                                  <w:rFonts w:ascii="宋体" w:eastAsia="宋体" w:hAnsi="宋体" w:cs="宋体" w:hint="eastAsia"/>
                                  <w:color w:val="000000"/>
                                  <w:kern w:val="0"/>
                                  <w:sz w:val="28"/>
                                  <w:szCs w:val="28"/>
                                </w:rPr>
                                <w:t>前期由</w:t>
                              </w:r>
                              <w:proofErr w:type="gramEnd"/>
                              <w:r w:rsidRPr="00E24CDA">
                                <w:rPr>
                                  <w:rFonts w:ascii="宋体" w:eastAsia="宋体" w:hAnsi="宋体" w:cs="宋体" w:hint="eastAsia"/>
                                  <w:color w:val="000000"/>
                                  <w:kern w:val="0"/>
                                  <w:sz w:val="28"/>
                                  <w:szCs w:val="28"/>
                                </w:rPr>
                                <w:t>县项目建设工作领导小组指定一家县直部门（单位）负责项目手续办理；建设过程中由县项目建设工作领导小组负责协调解决项目推进中遇到的问题。</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第二十四条　新投资拟落地项目由发改、国土、规划、环保、安监等部门集中并</w:t>
                              </w:r>
                              <w:proofErr w:type="gramStart"/>
                              <w:r w:rsidRPr="00E24CDA">
                                <w:rPr>
                                  <w:rFonts w:ascii="宋体" w:eastAsia="宋体" w:hAnsi="宋体" w:cs="宋体" w:hint="eastAsia"/>
                                  <w:color w:val="000000"/>
                                  <w:kern w:val="0"/>
                                  <w:sz w:val="28"/>
                                  <w:szCs w:val="28"/>
                                </w:rPr>
                                <w:t>审联批</w:t>
                              </w:r>
                              <w:proofErr w:type="gramEnd"/>
                              <w:r w:rsidRPr="00E24CDA">
                                <w:rPr>
                                  <w:rFonts w:ascii="宋体" w:eastAsia="宋体" w:hAnsi="宋体" w:cs="宋体" w:hint="eastAsia"/>
                                  <w:color w:val="000000"/>
                                  <w:kern w:val="0"/>
                                  <w:sz w:val="28"/>
                                  <w:szCs w:val="28"/>
                                </w:rPr>
                                <w:t>，提前对接并提出初审意见。</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第二十五条　政务审批实行“容缺审批”制度，对项目申报材料核心要素齐全，可容缺要素欠缺的审批申请，先行受理，</w:t>
                              </w:r>
                              <w:proofErr w:type="gramStart"/>
                              <w:r w:rsidRPr="00E24CDA">
                                <w:rPr>
                                  <w:rFonts w:ascii="宋体" w:eastAsia="宋体" w:hAnsi="宋体" w:cs="宋体" w:hint="eastAsia"/>
                                  <w:color w:val="000000"/>
                                  <w:kern w:val="0"/>
                                  <w:sz w:val="28"/>
                                  <w:szCs w:val="28"/>
                                </w:rPr>
                                <w:t>容缺审批</w:t>
                              </w:r>
                              <w:proofErr w:type="gramEnd"/>
                              <w:r w:rsidRPr="00E24CDA">
                                <w:rPr>
                                  <w:rFonts w:ascii="宋体" w:eastAsia="宋体" w:hAnsi="宋体" w:cs="宋体" w:hint="eastAsia"/>
                                  <w:color w:val="000000"/>
                                  <w:kern w:val="0"/>
                                  <w:sz w:val="28"/>
                                  <w:szCs w:val="28"/>
                                </w:rPr>
                                <w:t>。</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第二十六条　县经济开发区对落户开发区的投资项目，提供“七通一平”公共配套服务。</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第二十七条　县供电公司对招商引资企业的用电服务实行“一事一议、</w:t>
                              </w:r>
                              <w:proofErr w:type="gramStart"/>
                              <w:r w:rsidRPr="00E24CDA">
                                <w:rPr>
                                  <w:rFonts w:ascii="宋体" w:eastAsia="宋体" w:hAnsi="宋体" w:cs="宋体" w:hint="eastAsia"/>
                                  <w:color w:val="000000"/>
                                  <w:kern w:val="0"/>
                                  <w:sz w:val="28"/>
                                  <w:szCs w:val="28"/>
                                </w:rPr>
                                <w:t>特</w:t>
                              </w:r>
                              <w:proofErr w:type="gramEnd"/>
                              <w:r w:rsidRPr="00E24CDA">
                                <w:rPr>
                                  <w:rFonts w:ascii="宋体" w:eastAsia="宋体" w:hAnsi="宋体" w:cs="宋体" w:hint="eastAsia"/>
                                  <w:color w:val="000000"/>
                                  <w:kern w:val="0"/>
                                  <w:sz w:val="28"/>
                                  <w:szCs w:val="28"/>
                                </w:rPr>
                                <w:t>事特办”制度，确保项目建设生产用电。</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七、其他政策</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第二十八条　对当年通过国家级、省级、市级认定的企业技术中心、工程技术研究中心（重点实验室、产业技术创新联盟），分别给予50万元、10万元、5万元奖励；对当年认定的院士工作站给予50万元的奖励；对当</w:t>
                              </w:r>
                              <w:r w:rsidRPr="00E24CDA">
                                <w:rPr>
                                  <w:rFonts w:ascii="宋体" w:eastAsia="宋体" w:hAnsi="宋体" w:cs="宋体" w:hint="eastAsia"/>
                                  <w:color w:val="000000"/>
                                  <w:kern w:val="0"/>
                                  <w:sz w:val="28"/>
                                  <w:szCs w:val="28"/>
                                </w:rPr>
                                <w:lastRenderedPageBreak/>
                                <w:t>年认定的国家级、省级、市级高新技术企业，分别给予50万元、10万元、5万元奖励。</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第二十九条　对当年通过认定的省知识产权优势企业给予10万元奖励，省、市知识产权示范企业给予10万元、5万元奖励；对经认定</w:t>
                              </w:r>
                              <w:proofErr w:type="gramStart"/>
                              <w:r w:rsidRPr="00E24CDA">
                                <w:rPr>
                                  <w:rFonts w:ascii="宋体" w:eastAsia="宋体" w:hAnsi="宋体" w:cs="宋体" w:hint="eastAsia"/>
                                  <w:color w:val="000000"/>
                                  <w:kern w:val="0"/>
                                  <w:sz w:val="28"/>
                                  <w:szCs w:val="28"/>
                                </w:rPr>
                                <w:t>符合县</w:t>
                              </w:r>
                              <w:proofErr w:type="gramEnd"/>
                              <w:r w:rsidRPr="00E24CDA">
                                <w:rPr>
                                  <w:rFonts w:ascii="宋体" w:eastAsia="宋体" w:hAnsi="宋体" w:cs="宋体" w:hint="eastAsia"/>
                                  <w:color w:val="000000"/>
                                  <w:kern w:val="0"/>
                                  <w:sz w:val="28"/>
                                  <w:szCs w:val="28"/>
                                </w:rPr>
                                <w:t>重点产业发展方向、实际应用并取得经济效益且专利权归属企业的发明专利，给予最高不超过10万元的项目资金补助。</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第三十条　对规模以上企业进行规范化公司制改制，聘请符合省有关部门规定条件的中介机构产生的审计费、评估费、律师费等，财政按实际发生额的50%给予补助，单户企业最高补助20万元。</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第三十一条　对当年完成股份制改制的企业奖励10万元；对当年在</w:t>
                              </w:r>
                              <w:proofErr w:type="gramStart"/>
                              <w:r w:rsidRPr="00E24CDA">
                                <w:rPr>
                                  <w:rFonts w:ascii="宋体" w:eastAsia="宋体" w:hAnsi="宋体" w:cs="宋体" w:hint="eastAsia"/>
                                  <w:color w:val="000000"/>
                                  <w:kern w:val="0"/>
                                  <w:sz w:val="28"/>
                                  <w:szCs w:val="28"/>
                                </w:rPr>
                                <w:t>国内沪</w:t>
                              </w:r>
                              <w:proofErr w:type="gramEnd"/>
                              <w:r w:rsidRPr="00E24CDA">
                                <w:rPr>
                                  <w:rFonts w:ascii="宋体" w:eastAsia="宋体" w:hAnsi="宋体" w:cs="宋体" w:hint="eastAsia"/>
                                  <w:color w:val="000000"/>
                                  <w:kern w:val="0"/>
                                  <w:sz w:val="28"/>
                                  <w:szCs w:val="28"/>
                                </w:rPr>
                                <w:t>深两市上市或境外主板上市的企业奖励200万元；在“新三板”挂牌的企业奖励50万元；在国内区域性股权交易市场挂牌的企业奖励10万元。</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第三十二条　外来投资商、高层次人才落户“零门槛”，子女入托、就学享受城区最优择校权。</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第三十三条　对来</w:t>
                              </w:r>
                              <w:proofErr w:type="gramStart"/>
                              <w:r w:rsidRPr="00E24CDA">
                                <w:rPr>
                                  <w:rFonts w:ascii="宋体" w:eastAsia="宋体" w:hAnsi="宋体" w:cs="宋体" w:hint="eastAsia"/>
                                  <w:color w:val="000000"/>
                                  <w:kern w:val="0"/>
                                  <w:sz w:val="28"/>
                                  <w:szCs w:val="28"/>
                                </w:rPr>
                                <w:t>郓</w:t>
                              </w:r>
                              <w:proofErr w:type="gramEnd"/>
                              <w:r w:rsidRPr="00E24CDA">
                                <w:rPr>
                                  <w:rFonts w:ascii="宋体" w:eastAsia="宋体" w:hAnsi="宋体" w:cs="宋体" w:hint="eastAsia"/>
                                  <w:color w:val="000000"/>
                                  <w:kern w:val="0"/>
                                  <w:sz w:val="28"/>
                                  <w:szCs w:val="28"/>
                                </w:rPr>
                                <w:t>投资的“世界500强”、“中国500强”、行业50强企业及单体项目投资过5亿元的工业、生产性服务业项目，优惠政策采取“一事一议”。</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第三十四条　本规定适用于自然人、法人或其他组织在县产业集聚区内新投资兴办的符合国家及当地产业政策，总投资500万元以上（含本数，下同）的农业、5000万元以上的工业、3000万元以上的服务业（电</w:t>
                              </w:r>
                              <w:proofErr w:type="gramStart"/>
                              <w:r w:rsidRPr="00E24CDA">
                                <w:rPr>
                                  <w:rFonts w:ascii="宋体" w:eastAsia="宋体" w:hAnsi="宋体" w:cs="宋体" w:hint="eastAsia"/>
                                  <w:color w:val="000000"/>
                                  <w:kern w:val="0"/>
                                  <w:sz w:val="28"/>
                                  <w:szCs w:val="28"/>
                                </w:rPr>
                                <w:t>商产业</w:t>
                              </w:r>
                              <w:proofErr w:type="gramEnd"/>
                              <w:r w:rsidRPr="00E24CDA">
                                <w:rPr>
                                  <w:rFonts w:ascii="宋体" w:eastAsia="宋体" w:hAnsi="宋体" w:cs="宋体" w:hint="eastAsia"/>
                                  <w:color w:val="000000"/>
                                  <w:kern w:val="0"/>
                                  <w:sz w:val="28"/>
                                  <w:szCs w:val="28"/>
                                </w:rPr>
                                <w:t>园放宽至1000万元以上）、100万美元以上的外资等项目。</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lastRenderedPageBreak/>
                                <w:t>第三十五条　国家、省、市出台新的有关政策比本规定更优惠的，按新政策执行。</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第三十六条　本规定自印发之日起施行，由县项目建设办公室负责解释。</w:t>
                              </w:r>
                            </w:p>
                            <w:p w:rsidR="00E24CDA" w:rsidRPr="00E24CDA" w:rsidRDefault="00E24CDA" w:rsidP="00E24CDA">
                              <w:pPr>
                                <w:widowControl/>
                                <w:spacing w:line="390" w:lineRule="atLeast"/>
                                <w:ind w:firstLine="552"/>
                                <w:rPr>
                                  <w:rFonts w:ascii="宋体" w:eastAsia="宋体" w:hAnsi="宋体" w:cs="宋体"/>
                                  <w:color w:val="000000"/>
                                  <w:kern w:val="0"/>
                                  <w:sz w:val="24"/>
                                  <w:szCs w:val="24"/>
                                </w:rPr>
                              </w:pPr>
                              <w:r w:rsidRPr="00E24CDA">
                                <w:rPr>
                                  <w:rFonts w:ascii="宋体" w:eastAsia="宋体" w:hAnsi="宋体" w:cs="宋体" w:hint="eastAsia"/>
                                  <w:color w:val="000000"/>
                                  <w:kern w:val="0"/>
                                  <w:sz w:val="28"/>
                                  <w:szCs w:val="28"/>
                                </w:rPr>
                                <w:t> </w:t>
                              </w:r>
                            </w:p>
                          </w:tc>
                        </w:tr>
                      </w:tbl>
                      <w:p w:rsidR="00E24CDA" w:rsidRPr="00E24CDA" w:rsidRDefault="00E24CDA" w:rsidP="00E24CDA">
                        <w:pPr>
                          <w:widowControl/>
                          <w:jc w:val="left"/>
                          <w:rPr>
                            <w:rFonts w:ascii="宋体" w:eastAsia="宋体" w:hAnsi="宋体" w:cs="宋体"/>
                            <w:kern w:val="0"/>
                            <w:sz w:val="24"/>
                            <w:szCs w:val="24"/>
                          </w:rPr>
                        </w:pPr>
                      </w:p>
                    </w:tc>
                  </w:tr>
                </w:tbl>
                <w:p w:rsidR="00E24CDA" w:rsidRPr="00E24CDA" w:rsidRDefault="00E24CDA" w:rsidP="00E24CDA">
                  <w:pPr>
                    <w:widowControl/>
                    <w:spacing w:line="390" w:lineRule="atLeast"/>
                    <w:jc w:val="center"/>
                    <w:rPr>
                      <w:rFonts w:ascii="宋体" w:eastAsia="宋体" w:hAnsi="宋体" w:cs="宋体"/>
                      <w:color w:val="000000"/>
                      <w:kern w:val="0"/>
                      <w:szCs w:val="21"/>
                    </w:rPr>
                  </w:pPr>
                </w:p>
              </w:tc>
              <w:tc>
                <w:tcPr>
                  <w:tcW w:w="0" w:type="auto"/>
                  <w:shd w:val="clear" w:color="auto" w:fill="FFFFFF"/>
                  <w:vAlign w:val="center"/>
                  <w:hideMark/>
                </w:tcPr>
                <w:p w:rsidR="00E24CDA" w:rsidRPr="00E24CDA" w:rsidRDefault="00E24CDA" w:rsidP="00E24CDA">
                  <w:pPr>
                    <w:widowControl/>
                    <w:jc w:val="left"/>
                    <w:rPr>
                      <w:rFonts w:ascii="Times New Roman" w:eastAsia="Times New Roman" w:hAnsi="Times New Roman" w:cs="Times New Roman"/>
                      <w:kern w:val="0"/>
                      <w:sz w:val="20"/>
                      <w:szCs w:val="20"/>
                    </w:rPr>
                  </w:pPr>
                </w:p>
              </w:tc>
            </w:tr>
          </w:tbl>
          <w:p w:rsidR="00E24CDA" w:rsidRPr="00E24CDA" w:rsidRDefault="00E24CDA" w:rsidP="00E24CDA">
            <w:pPr>
              <w:widowControl/>
              <w:jc w:val="left"/>
              <w:rPr>
                <w:rFonts w:ascii="微软雅黑" w:eastAsia="微软雅黑" w:hAnsi="微软雅黑" w:cs="宋体"/>
                <w:color w:val="000000"/>
                <w:kern w:val="0"/>
                <w:sz w:val="20"/>
                <w:szCs w:val="20"/>
              </w:rPr>
            </w:pPr>
          </w:p>
        </w:tc>
      </w:tr>
    </w:tbl>
    <w:p w:rsidR="00AA6B6D" w:rsidRDefault="00AA6B6D"/>
    <w:sectPr w:rsidR="00AA6B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DA"/>
    <w:rsid w:val="00AA6B6D"/>
    <w:rsid w:val="00E2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A8A4-A4B6-4D08-9793-E4F5B992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4CDA"/>
    <w:rPr>
      <w:color w:val="0000FF"/>
      <w:u w:val="single"/>
    </w:rPr>
  </w:style>
  <w:style w:type="character" w:customStyle="1" w:styleId="apple-converted-space">
    <w:name w:val="apple-converted-space"/>
    <w:basedOn w:val="a0"/>
    <w:rsid w:val="00E2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6322">
      <w:bodyDiv w:val="1"/>
      <w:marLeft w:val="0"/>
      <w:marRight w:val="0"/>
      <w:marTop w:val="0"/>
      <w:marBottom w:val="0"/>
      <w:divBdr>
        <w:top w:val="none" w:sz="0" w:space="0" w:color="auto"/>
        <w:left w:val="none" w:sz="0" w:space="0" w:color="auto"/>
        <w:bottom w:val="none" w:sz="0" w:space="0" w:color="auto"/>
        <w:right w:val="none" w:sz="0" w:space="0" w:color="auto"/>
      </w:divBdr>
      <w:divsChild>
        <w:div w:id="1495490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yc.gov.cn/xxgk/list.php?fid=30" TargetMode="External"/><Relationship Id="rId5" Type="http://schemas.openxmlformats.org/officeDocument/2006/relationships/hyperlink" Target="http://www.cnyc.gov.cn/xxgk/list.php?fid=11" TargetMode="External"/><Relationship Id="rId4" Type="http://schemas.openxmlformats.org/officeDocument/2006/relationships/hyperlink" Target="http://www.cnyc.gov.cn/xxg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2018-05-23T10:20:00Z</dcterms:created>
  <dcterms:modified xsi:type="dcterms:W3CDTF">2018-05-23T10:20:00Z</dcterms:modified>
</cp:coreProperties>
</file>