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tblCellSpacing w:w="0" w:type="dxa"/>
        <w:tblInd w:w="0" w:type="dxa"/>
        <w:shd w:val="clear" w:color="auto" w:fill="FFFFFF"/>
        <w:tblLayout w:type="fixed"/>
        <w:tblCellMar>
          <w:top w:w="0" w:type="dxa"/>
          <w:left w:w="0" w:type="dxa"/>
          <w:bottom w:w="0" w:type="dxa"/>
          <w:right w:w="0" w:type="dxa"/>
        </w:tblCellMar>
      </w:tblPr>
      <w:tblGrid>
        <w:gridCol w:w="8306"/>
      </w:tblGrid>
      <w:tr>
        <w:tblPrEx>
          <w:tblLayout w:type="fixed"/>
          <w:tblCellMar>
            <w:top w:w="0" w:type="dxa"/>
            <w:left w:w="0" w:type="dxa"/>
            <w:bottom w:w="0" w:type="dxa"/>
            <w:right w:w="0" w:type="dxa"/>
          </w:tblCellMar>
        </w:tblPrEx>
        <w:trPr>
          <w:tblCellSpacing w:w="0" w:type="dxa"/>
        </w:trPr>
        <w:tc>
          <w:tcPr>
            <w:tcW w:w="8306" w:type="dxa"/>
            <w:shd w:val="clear" w:color="auto" w:fill="FFFFFF"/>
            <w:vAlign w:val="center"/>
          </w:tcPr>
          <w:p>
            <w:pPr>
              <w:keepNext w:val="0"/>
              <w:keepLines w:val="0"/>
              <w:widowControl/>
              <w:suppressLineNumbers w:val="0"/>
              <w:spacing w:line="648" w:lineRule="atLeast"/>
              <w:ind w:left="0" w:firstLine="0"/>
              <w:jc w:val="center"/>
              <w:rPr>
                <w:rFonts w:hint="eastAsia" w:ascii="宋体" w:hAnsi="宋体" w:eastAsia="宋体" w:cs="宋体"/>
                <w:b/>
                <w:i w:val="0"/>
                <w:caps w:val="0"/>
                <w:color w:val="D90201"/>
                <w:spacing w:val="0"/>
                <w:sz w:val="36"/>
                <w:szCs w:val="36"/>
              </w:rPr>
            </w:pPr>
            <w:bookmarkStart w:id="0" w:name="_GoBack"/>
            <w:r>
              <w:rPr>
                <w:rFonts w:hint="eastAsia" w:ascii="宋体" w:hAnsi="宋体" w:eastAsia="宋体" w:cs="宋体"/>
                <w:b/>
                <w:i w:val="0"/>
                <w:caps w:val="0"/>
                <w:color w:val="D90201"/>
                <w:spacing w:val="0"/>
                <w:kern w:val="0"/>
                <w:sz w:val="36"/>
                <w:szCs w:val="36"/>
                <w:lang w:val="en-US" w:eastAsia="zh-CN" w:bidi="ar"/>
              </w:rPr>
              <w:t>泗阳县人民政府印发《关于进一步支持创新发展若干政策措施的意见》的通知</w:t>
            </w:r>
            <w:bookmarkEnd w:id="0"/>
          </w:p>
        </w:tc>
      </w:tr>
    </w:tbl>
    <w:p>
      <w:pPr>
        <w:rPr>
          <w:vanish/>
          <w:sz w:val="24"/>
          <w:szCs w:val="24"/>
        </w:rPr>
      </w:pPr>
    </w:p>
    <w:tbl>
      <w:tblPr>
        <w:tblW w:w="8306" w:type="dxa"/>
        <w:tblCellSpacing w:w="0" w:type="dxa"/>
        <w:tblInd w:w="0" w:type="dxa"/>
        <w:shd w:val="clear" w:color="auto" w:fill="FFFFFF"/>
        <w:tblLayout w:type="fixed"/>
        <w:tblCellMar>
          <w:top w:w="0" w:type="dxa"/>
          <w:left w:w="0" w:type="dxa"/>
          <w:bottom w:w="0" w:type="dxa"/>
          <w:right w:w="0" w:type="dxa"/>
        </w:tblCellMar>
      </w:tblPr>
      <w:tblGrid>
        <w:gridCol w:w="8306"/>
      </w:tblGrid>
      <w:tr>
        <w:tblPrEx>
          <w:tblLayout w:type="fixed"/>
          <w:tblCellMar>
            <w:top w:w="0" w:type="dxa"/>
            <w:left w:w="0" w:type="dxa"/>
            <w:bottom w:w="0" w:type="dxa"/>
            <w:right w:w="0" w:type="dxa"/>
          </w:tblCellMar>
        </w:tblPrEx>
        <w:trPr>
          <w:tblCellSpacing w:w="0" w:type="dxa"/>
        </w:trPr>
        <w:tc>
          <w:tcPr>
            <w:tcW w:w="8306" w:type="dxa"/>
            <w:shd w:val="clear" w:color="auto" w:fill="FFFFFF"/>
            <w:vAlign w:val="center"/>
          </w:tcPr>
          <w:p>
            <w:pPr>
              <w:keepNext w:val="0"/>
              <w:keepLines w:val="0"/>
              <w:widowControl/>
              <w:suppressLineNumbers w:val="0"/>
              <w:spacing w:line="324" w:lineRule="atLeast"/>
              <w:ind w:left="0" w:firstLine="0"/>
              <w:jc w:val="left"/>
              <w:rPr>
                <w:rFonts w:hint="eastAsia" w:ascii="宋体" w:hAnsi="宋体" w:eastAsia="宋体" w:cs="宋体"/>
                <w:i w:val="0"/>
                <w:caps w:val="0"/>
                <w:color w:val="3D3D3D"/>
                <w:spacing w:val="0"/>
                <w:sz w:val="18"/>
                <w:szCs w:val="18"/>
              </w:rPr>
            </w:pPr>
            <w:r>
              <w:rPr>
                <w:rFonts w:hint="eastAsia" w:ascii="宋体" w:hAnsi="宋体" w:eastAsia="宋体" w:cs="宋体"/>
                <w:i w:val="0"/>
                <w:caps w:val="0"/>
                <w:color w:val="3D3D3D"/>
                <w:spacing w:val="0"/>
                <w:kern w:val="0"/>
                <w:sz w:val="18"/>
                <w:szCs w:val="18"/>
                <w:lang w:val="en-US" w:eastAsia="zh-CN" w:bidi="ar"/>
              </w:rPr>
              <w:drawing>
                <wp:inline distT="0" distB="0" distL="114300" distR="114300">
                  <wp:extent cx="28575" cy="38100"/>
                  <wp:effectExtent l="0" t="0" r="9525" b="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28575" cy="38100"/>
                          </a:xfrm>
                          <a:prstGeom prst="rect">
                            <a:avLst/>
                          </a:prstGeom>
                          <a:noFill/>
                          <a:ln w="9525">
                            <a:noFill/>
                          </a:ln>
                        </pic:spPr>
                      </pic:pic>
                    </a:graphicData>
                  </a:graphic>
                </wp:inline>
              </w:drawing>
            </w:r>
          </w:p>
        </w:tc>
      </w:tr>
    </w:tbl>
    <w:p>
      <w:pPr>
        <w:rPr>
          <w:vanish/>
          <w:sz w:val="24"/>
          <w:szCs w:val="24"/>
        </w:rPr>
      </w:pPr>
    </w:p>
    <w:tbl>
      <w:tblPr>
        <w:tblW w:w="8756" w:type="dxa"/>
        <w:tblCellSpacing w:w="0" w:type="dxa"/>
        <w:tblInd w:w="0" w:type="dxa"/>
        <w:shd w:val="clear" w:color="auto" w:fill="FFFFFF"/>
        <w:tblLayout w:type="fixed"/>
        <w:tblCellMar>
          <w:top w:w="0" w:type="dxa"/>
          <w:left w:w="0" w:type="dxa"/>
          <w:bottom w:w="0" w:type="dxa"/>
          <w:right w:w="0" w:type="dxa"/>
        </w:tblCellMar>
      </w:tblPr>
      <w:tblGrid>
        <w:gridCol w:w="8756"/>
      </w:tblGrid>
      <w:tr>
        <w:tblPrEx>
          <w:shd w:val="clear" w:color="auto" w:fill="FFFFFF"/>
          <w:tblLayout w:type="fixed"/>
          <w:tblCellMar>
            <w:top w:w="0" w:type="dxa"/>
            <w:left w:w="0" w:type="dxa"/>
            <w:bottom w:w="0" w:type="dxa"/>
            <w:right w:w="0" w:type="dxa"/>
          </w:tblCellMar>
        </w:tblPrEx>
        <w:trPr>
          <w:tblCellSpacing w:w="0" w:type="dxa"/>
        </w:trPr>
        <w:tc>
          <w:tcPr>
            <w:tcW w:w="8756" w:type="dxa"/>
            <w:shd w:val="clear" w:color="auto" w:fill="FFFFFF"/>
            <w:tcMar>
              <w:top w:w="225" w:type="dxa"/>
              <w:left w:w="225" w:type="dxa"/>
              <w:bottom w:w="225" w:type="dxa"/>
              <w:right w:w="22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pPr>
            <w:r>
              <w:rPr>
                <w:rFonts w:hint="eastAsia" w:ascii="宋体" w:hAnsi="宋体" w:eastAsia="宋体" w:cs="宋体"/>
                <w:i w:val="0"/>
                <w:caps w:val="0"/>
                <w:color w:val="3D3D3D"/>
                <w:spacing w:val="0"/>
                <w:sz w:val="21"/>
                <w:szCs w:val="21"/>
                <w:bdr w:val="none" w:color="auto" w:sz="0" w:space="0"/>
              </w:rPr>
              <w:t>各乡镇人民政府，各街道办事处，各园区（场）管委会，县各委办局，县各直属单位：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pPr>
            <w:r>
              <w:rPr>
                <w:rFonts w:hint="eastAsia" w:ascii="宋体" w:hAnsi="宋体" w:eastAsia="宋体" w:cs="宋体"/>
                <w:i w:val="0"/>
                <w:caps w:val="0"/>
                <w:color w:val="3D3D3D"/>
                <w:spacing w:val="0"/>
                <w:sz w:val="21"/>
                <w:szCs w:val="21"/>
                <w:bdr w:val="none" w:color="auto" w:sz="0" w:space="0"/>
              </w:rPr>
              <w:t>　　现将《关于进一步支持创新发展若干政策措施的意见》印发给你们，请认真贯彻执行。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right"/>
            </w:pPr>
            <w:r>
              <w:rPr>
                <w:rFonts w:hint="eastAsia" w:ascii="宋体" w:hAnsi="宋体" w:eastAsia="宋体" w:cs="宋体"/>
                <w:i w:val="0"/>
                <w:caps w:val="0"/>
                <w:color w:val="3D3D3D"/>
                <w:spacing w:val="0"/>
                <w:sz w:val="21"/>
                <w:szCs w:val="21"/>
                <w:bdr w:val="none" w:color="auto" w:sz="0" w:space="0"/>
              </w:rPr>
              <w:t>　　泗阳县人民政府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right"/>
            </w:pPr>
            <w:r>
              <w:rPr>
                <w:rFonts w:hint="eastAsia" w:ascii="宋体" w:hAnsi="宋体" w:eastAsia="宋体" w:cs="宋体"/>
                <w:i w:val="0"/>
                <w:caps w:val="0"/>
                <w:color w:val="3D3D3D"/>
                <w:spacing w:val="0"/>
                <w:sz w:val="21"/>
                <w:szCs w:val="21"/>
                <w:bdr w:val="none" w:color="auto" w:sz="0" w:space="0"/>
              </w:rPr>
              <w:t>　　2017年11月2日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pPr>
            <w:r>
              <w:rPr>
                <w:rFonts w:hint="eastAsia" w:ascii="宋体" w:hAnsi="宋体" w:eastAsia="宋体" w:cs="宋体"/>
                <w:i w:val="0"/>
                <w:caps w:val="0"/>
                <w:color w:val="3D3D3D"/>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pPr>
            <w:r>
              <w:rPr>
                <w:rFonts w:hint="eastAsia" w:ascii="宋体" w:hAnsi="宋体" w:eastAsia="宋体" w:cs="宋体"/>
                <w:i w:val="0"/>
                <w:caps w:val="0"/>
                <w:color w:val="3D3D3D"/>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pPr>
            <w:r>
              <w:rPr>
                <w:rFonts w:hint="eastAsia" w:ascii="宋体" w:hAnsi="宋体" w:eastAsia="宋体" w:cs="宋体"/>
                <w:i w:val="0"/>
                <w:caps w:val="0"/>
                <w:color w:val="3D3D3D"/>
                <w:spacing w:val="0"/>
                <w:sz w:val="21"/>
                <w:szCs w:val="21"/>
                <w:bdr w:val="none" w:color="auto" w:sz="0" w:space="0"/>
              </w:rPr>
              <w:t>关于进一步支持创新发展若干政策措施的意见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pPr>
            <w:r>
              <w:rPr>
                <w:rFonts w:hint="eastAsia" w:ascii="宋体" w:hAnsi="宋体" w:eastAsia="宋体" w:cs="宋体"/>
                <w:i w:val="0"/>
                <w:caps w:val="0"/>
                <w:color w:val="3D3D3D"/>
                <w:spacing w:val="0"/>
                <w:sz w:val="21"/>
                <w:szCs w:val="21"/>
                <w:bdr w:val="none" w:color="auto" w:sz="0" w:space="0"/>
              </w:rPr>
              <w:t>　　为全面贯彻全国、全省科技创新大会精神，深入落实《国务院办公厅关于县域创新驱动发展的若干意见》（国办发〔2017〕43号）、《省政府印发关于加快推进产业科技创新中心和创新型省份建设若干政策措施的通知》（苏政发〔2016〕107号），进一步营造良好的激励自主创新环境，增强企业自主创新能力，推动大众创业、万众创新，推进我县经济协调发展转型升级，特制定本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pPr>
            <w:r>
              <w:rPr>
                <w:rFonts w:hint="eastAsia" w:ascii="宋体" w:hAnsi="宋体" w:eastAsia="宋体" w:cs="宋体"/>
                <w:i w:val="0"/>
                <w:caps w:val="0"/>
                <w:color w:val="3D3D3D"/>
                <w:spacing w:val="0"/>
                <w:sz w:val="21"/>
                <w:szCs w:val="21"/>
                <w:bdr w:val="none" w:color="auto" w:sz="0" w:space="0"/>
              </w:rPr>
              <w:t>　　一、加大对创新创业载体建设的支持力度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pPr>
            <w:r>
              <w:rPr>
                <w:rFonts w:hint="eastAsia" w:ascii="宋体" w:hAnsi="宋体" w:eastAsia="宋体" w:cs="宋体"/>
                <w:i w:val="0"/>
                <w:caps w:val="0"/>
                <w:color w:val="3D3D3D"/>
                <w:spacing w:val="0"/>
                <w:sz w:val="21"/>
                <w:szCs w:val="21"/>
                <w:bdr w:val="none" w:color="auto" w:sz="0" w:space="0"/>
              </w:rPr>
              <w:t>　　1.对新获得国家级、省级、市级企业技术中心、工程中心、工程技术研究中心（技术中心、工程中心、工程技术研究中心仅奖1项）的企业，分别奖励160万元、60万元、5万元。对国家级科研院所在泗设立分支机构的，采取一事一议形式进行奖励。鼓励各类园区积极申报国家、省级平台，对创建成功国家或省级科技园区分别奖励100万元、50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pPr>
            <w:r>
              <w:rPr>
                <w:rFonts w:hint="eastAsia" w:ascii="宋体" w:hAnsi="宋体" w:eastAsia="宋体" w:cs="宋体"/>
                <w:i w:val="0"/>
                <w:caps w:val="0"/>
                <w:color w:val="3D3D3D"/>
                <w:spacing w:val="0"/>
                <w:sz w:val="21"/>
                <w:szCs w:val="21"/>
                <w:bdr w:val="none" w:color="auto" w:sz="0" w:space="0"/>
              </w:rPr>
              <w:t>2.对建立科技创新公共服务平台（包括研发设计、公共技术转化、设备共享、数据共享等为企业发展提供相关服务的平台）的，以服务平台当年服务性收费总额的10%予以奖励,最高不超过100万元；对与高校院所共建离岸研发机构的企业，按照合作协议，予其每年实际支付高校院所合作费用的20%奖励，每年最高不超过50万元；对被认定为省企业技术研究院的，给予一次性100万元奖励；认定为省级企业院士工作站、企业研究生工作站的，分别奖励50万元、5万元；新认定为江苏省工业设计中心的企业，奖励10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pPr>
            <w:r>
              <w:rPr>
                <w:rFonts w:hint="eastAsia" w:ascii="宋体" w:hAnsi="宋体" w:eastAsia="宋体" w:cs="宋体"/>
                <w:i w:val="0"/>
                <w:caps w:val="0"/>
                <w:color w:val="3D3D3D"/>
                <w:spacing w:val="0"/>
                <w:sz w:val="21"/>
                <w:szCs w:val="21"/>
                <w:bdr w:val="none" w:color="auto" w:sz="0" w:space="0"/>
              </w:rPr>
              <w:t>　　3.对新引进或企业新创建的国家级、省级检验检测机构（产品检测中心），分别奖励30万元、10万元；被认定为江苏农村科技服务超市分店、便利店的承担企业，分别奖励10万元、5万元。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pPr>
            <w:r>
              <w:rPr>
                <w:rFonts w:hint="eastAsia" w:ascii="宋体" w:hAnsi="宋体" w:eastAsia="宋体" w:cs="宋体"/>
                <w:i w:val="0"/>
                <w:caps w:val="0"/>
                <w:color w:val="3D3D3D"/>
                <w:spacing w:val="0"/>
                <w:sz w:val="21"/>
                <w:szCs w:val="21"/>
                <w:bdr w:val="none" w:color="auto" w:sz="0" w:space="0"/>
              </w:rPr>
              <w:t>　　4.大力支持产学研合作的深入开展，设立产学研活动专项经费50万元，纳入财政预算，并逐年递增。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pPr>
            <w:r>
              <w:rPr>
                <w:rFonts w:hint="eastAsia" w:ascii="宋体" w:hAnsi="宋体" w:eastAsia="宋体" w:cs="宋体"/>
                <w:i w:val="0"/>
                <w:caps w:val="0"/>
                <w:color w:val="3D3D3D"/>
                <w:spacing w:val="0"/>
                <w:sz w:val="21"/>
                <w:szCs w:val="21"/>
                <w:bdr w:val="none" w:color="auto" w:sz="0" w:space="0"/>
              </w:rPr>
              <w:t>　　二、加大对创新型企业培育的支持力度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pPr>
            <w:r>
              <w:rPr>
                <w:rFonts w:hint="eastAsia" w:ascii="宋体" w:hAnsi="宋体" w:eastAsia="宋体" w:cs="宋体"/>
                <w:i w:val="0"/>
                <w:caps w:val="0"/>
                <w:color w:val="3D3D3D"/>
                <w:spacing w:val="0"/>
                <w:sz w:val="21"/>
                <w:szCs w:val="21"/>
                <w:bdr w:val="none" w:color="auto" w:sz="0" w:space="0"/>
              </w:rPr>
              <w:t>5.找准县域创新驱动发展的着力点。严格落实国家高新技术企业税收优惠政策，对首次认定为国家高新技术企业的，给予20万元奖励，重新认定的奖励10万元；园区当年新认定高新技术企业数达10家以上，乡镇（街道）当年新认定高新技术企业达2家以上的，分别奖励10万元；对新认定为国家和省级技术创新示范企业的，分别奖励20万元、10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pPr>
            <w:r>
              <w:rPr>
                <w:rFonts w:hint="eastAsia" w:ascii="宋体" w:hAnsi="宋体" w:eastAsia="宋体" w:cs="宋体"/>
                <w:i w:val="0"/>
                <w:caps w:val="0"/>
                <w:color w:val="3D3D3D"/>
                <w:spacing w:val="0"/>
                <w:sz w:val="21"/>
                <w:szCs w:val="21"/>
                <w:bdr w:val="none" w:color="auto" w:sz="0" w:space="0"/>
              </w:rPr>
              <w:t>　　6.被认定为省科技小巨人企业的，奖励20万元；首次被认定为江苏省民营科技型企业、江苏省科技型中小企业的，分别一次性奖励2万元;被省认定为科技企业上市培育计划入库的企业，奖励10万元。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pPr>
            <w:r>
              <w:rPr>
                <w:rFonts w:hint="eastAsia" w:ascii="宋体" w:hAnsi="宋体" w:eastAsia="宋体" w:cs="宋体"/>
                <w:i w:val="0"/>
                <w:caps w:val="0"/>
                <w:color w:val="3D3D3D"/>
                <w:spacing w:val="0"/>
                <w:sz w:val="21"/>
                <w:szCs w:val="21"/>
                <w:bdr w:val="none" w:color="auto" w:sz="0" w:space="0"/>
              </w:rPr>
              <w:t>　　7.引导企业建立创新研发准备金制度，鼓励企业加大研发投入，采取事前备案、事后补助的方式，给予不超过研发费用总额10%的普惠性财政奖励；设立科技成果转化基金，创业投资引导基金2000万元，引导社会资本投资初创期、种子期科技型中小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pPr>
            <w:r>
              <w:rPr>
                <w:rFonts w:hint="eastAsia" w:ascii="宋体" w:hAnsi="宋体" w:eastAsia="宋体" w:cs="宋体"/>
                <w:i w:val="0"/>
                <w:caps w:val="0"/>
                <w:color w:val="3D3D3D"/>
                <w:spacing w:val="0"/>
                <w:sz w:val="21"/>
                <w:szCs w:val="21"/>
                <w:bdr w:val="none" w:color="auto" w:sz="0" w:space="0"/>
              </w:rPr>
              <w:t>　　三、加大对科技成果转化应用的支持力度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pPr>
            <w:r>
              <w:rPr>
                <w:rFonts w:hint="eastAsia" w:ascii="宋体" w:hAnsi="宋体" w:eastAsia="宋体" w:cs="宋体"/>
                <w:i w:val="0"/>
                <w:caps w:val="0"/>
                <w:color w:val="3D3D3D"/>
                <w:spacing w:val="0"/>
                <w:sz w:val="21"/>
                <w:szCs w:val="21"/>
                <w:bdr w:val="none" w:color="auto" w:sz="0" w:space="0"/>
              </w:rPr>
              <w:t>　　8.对承担国家星火、火炬计划项目、认定为国家级重点新产品的企业，每项奖励5万元。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pPr>
            <w:r>
              <w:rPr>
                <w:rFonts w:hint="eastAsia" w:ascii="宋体" w:hAnsi="宋体" w:eastAsia="宋体" w:cs="宋体"/>
                <w:i w:val="0"/>
                <w:caps w:val="0"/>
                <w:color w:val="3D3D3D"/>
                <w:spacing w:val="0"/>
                <w:sz w:val="21"/>
                <w:szCs w:val="21"/>
                <w:bdr w:val="none" w:color="auto" w:sz="0" w:space="0"/>
              </w:rPr>
              <w:t>　　9.对被评为省级以上优秀新产品、新技术的，每个奖励10万元；被认定为省级“专精特新”产品的，每个奖励30万元；开发省级新产品新技术和高新技术产品通过鉴定并投入生产的，每个奖励2万元；获批省级科研项目的企业，按获批资金的5%奖励；获批省创新型乡镇的，给予10万元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pPr>
            <w:r>
              <w:rPr>
                <w:rFonts w:hint="eastAsia" w:ascii="宋体" w:hAnsi="宋体" w:eastAsia="宋体" w:cs="宋体"/>
                <w:i w:val="0"/>
                <w:caps w:val="0"/>
                <w:color w:val="3D3D3D"/>
                <w:spacing w:val="0"/>
                <w:sz w:val="21"/>
                <w:szCs w:val="21"/>
                <w:bdr w:val="none" w:color="auto" w:sz="0" w:space="0"/>
              </w:rPr>
              <w:t>　　10.对当年企业与高等院校、科研院所合作开发高新技术项目，或引进高新技术成果并产业化，按企业实际支付技术合作经费的50%给予补助，每项最高不超过20万元。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pPr>
            <w:r>
              <w:rPr>
                <w:rFonts w:hint="eastAsia" w:ascii="宋体" w:hAnsi="宋体" w:eastAsia="宋体" w:cs="宋体"/>
                <w:i w:val="0"/>
                <w:caps w:val="0"/>
                <w:color w:val="3D3D3D"/>
                <w:spacing w:val="0"/>
                <w:sz w:val="21"/>
                <w:szCs w:val="21"/>
                <w:bdr w:val="none" w:color="auto" w:sz="0" w:space="0"/>
              </w:rPr>
              <w:t>　　四、加大对知识产权保护的支持力度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pPr>
            <w:r>
              <w:rPr>
                <w:rFonts w:hint="eastAsia" w:ascii="宋体" w:hAnsi="宋体" w:eastAsia="宋体" w:cs="宋体"/>
                <w:i w:val="0"/>
                <w:caps w:val="0"/>
                <w:color w:val="3D3D3D"/>
                <w:spacing w:val="0"/>
                <w:sz w:val="21"/>
                <w:szCs w:val="21"/>
                <w:bdr w:val="none" w:color="auto" w:sz="0" w:space="0"/>
              </w:rPr>
              <w:t>　　11.对通过国家、省知识产权标准化示范创建验收合格企业，分别奖励6万元、3万元。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pPr>
            <w:r>
              <w:rPr>
                <w:rFonts w:hint="eastAsia" w:ascii="宋体" w:hAnsi="宋体" w:eastAsia="宋体" w:cs="宋体"/>
                <w:i w:val="0"/>
                <w:caps w:val="0"/>
                <w:color w:val="3D3D3D"/>
                <w:spacing w:val="0"/>
                <w:sz w:val="21"/>
                <w:szCs w:val="21"/>
                <w:bdr w:val="none" w:color="auto" w:sz="0" w:space="0"/>
              </w:rPr>
              <w:t>　　12.对当年进入实审的发明专利每件给予2000元的资助，当年授权的发明专利、实用新型专利、外观设计专利每件分别给予8000元、1800元、1000元的资助，最高不超过20万元/企业。对当年专利授权量达到50件、100件、300件（其中发明专利占比不低于5％）的企业，分别奖励3万元、5万元、10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pPr>
            <w:r>
              <w:rPr>
                <w:rFonts w:hint="eastAsia" w:ascii="宋体" w:hAnsi="宋体" w:eastAsia="宋体" w:cs="宋体"/>
                <w:i w:val="0"/>
                <w:caps w:val="0"/>
                <w:color w:val="3D3D3D"/>
                <w:spacing w:val="0"/>
                <w:sz w:val="21"/>
                <w:szCs w:val="21"/>
                <w:bdr w:val="none" w:color="auto" w:sz="0" w:space="0"/>
              </w:rPr>
              <w:t>　　13.对开展PCT国际专利申请的官费实行全额资助；对已授权的发明专利年费凭当年国家局票据实行全额资助。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pPr>
            <w:r>
              <w:rPr>
                <w:rFonts w:hint="eastAsia" w:ascii="宋体" w:hAnsi="宋体" w:eastAsia="宋体" w:cs="宋体"/>
                <w:i w:val="0"/>
                <w:caps w:val="0"/>
                <w:color w:val="3D3D3D"/>
                <w:spacing w:val="0"/>
                <w:sz w:val="21"/>
                <w:szCs w:val="21"/>
                <w:bdr w:val="none" w:color="auto" w:sz="0" w:space="0"/>
              </w:rPr>
              <w:t>　　五、加大对企业绿色发展的支持力度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pPr>
            <w:r>
              <w:rPr>
                <w:rFonts w:hint="eastAsia" w:ascii="宋体" w:hAnsi="宋体" w:eastAsia="宋体" w:cs="宋体"/>
                <w:i w:val="0"/>
                <w:caps w:val="0"/>
                <w:color w:val="3D3D3D"/>
                <w:spacing w:val="0"/>
                <w:sz w:val="21"/>
                <w:szCs w:val="21"/>
                <w:bdr w:val="none" w:color="auto" w:sz="0" w:space="0"/>
              </w:rPr>
              <w:t>　　14.对通过清洁生产审核验收、生态友好型示范企业评价的，奖励5万元。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pPr>
            <w:r>
              <w:rPr>
                <w:rFonts w:hint="eastAsia" w:ascii="宋体" w:hAnsi="宋体" w:eastAsia="宋体" w:cs="宋体"/>
                <w:i w:val="0"/>
                <w:caps w:val="0"/>
                <w:color w:val="3D3D3D"/>
                <w:spacing w:val="0"/>
                <w:sz w:val="21"/>
                <w:szCs w:val="21"/>
                <w:bdr w:val="none" w:color="auto" w:sz="0" w:space="0"/>
              </w:rPr>
              <w:t>　　15.对通过国家、省循环经济示范企业验收的，分别奖励20万元、10万元。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pPr>
            <w:r>
              <w:rPr>
                <w:rFonts w:hint="eastAsia" w:ascii="宋体" w:hAnsi="宋体" w:eastAsia="宋体" w:cs="宋体"/>
                <w:i w:val="0"/>
                <w:caps w:val="0"/>
                <w:color w:val="3D3D3D"/>
                <w:spacing w:val="0"/>
                <w:sz w:val="21"/>
                <w:szCs w:val="21"/>
                <w:bdr w:val="none" w:color="auto" w:sz="0" w:space="0"/>
              </w:rPr>
              <w:t>　　16.对创造性利用国内外先进环保技术或新产品的，按照不高于技术设备投资的10%进行奖励。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pPr>
            <w:r>
              <w:rPr>
                <w:rFonts w:hint="eastAsia" w:ascii="宋体" w:hAnsi="宋体" w:eastAsia="宋体" w:cs="宋体"/>
                <w:i w:val="0"/>
                <w:caps w:val="0"/>
                <w:color w:val="3D3D3D"/>
                <w:spacing w:val="0"/>
                <w:sz w:val="21"/>
                <w:szCs w:val="21"/>
                <w:bdr w:val="none" w:color="auto" w:sz="0" w:space="0"/>
              </w:rPr>
              <w:t>　　六、加大对企业直接融资的支持力度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pPr>
            <w:r>
              <w:rPr>
                <w:rFonts w:hint="eastAsia" w:ascii="宋体" w:hAnsi="宋体" w:eastAsia="宋体" w:cs="宋体"/>
                <w:i w:val="0"/>
                <w:caps w:val="0"/>
                <w:color w:val="3D3D3D"/>
                <w:spacing w:val="0"/>
                <w:sz w:val="21"/>
                <w:szCs w:val="21"/>
                <w:bdr w:val="none" w:color="auto" w:sz="0" w:space="0"/>
              </w:rPr>
              <w:t>　　17.对在沪深股市及海外上市的企业给予每户企业300万元奖励，报会后补助150万元，成功上市后再补助150万元。对符合产业规划，且对县域经济社会发展有重大贡献的企业上市的，采取“一事一议”方式进行奖励。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pPr>
            <w:r>
              <w:rPr>
                <w:rFonts w:hint="eastAsia" w:ascii="宋体" w:hAnsi="宋体" w:eastAsia="宋体" w:cs="宋体"/>
                <w:i w:val="0"/>
                <w:caps w:val="0"/>
                <w:color w:val="3D3D3D"/>
                <w:spacing w:val="0"/>
                <w:sz w:val="21"/>
                <w:szCs w:val="21"/>
                <w:bdr w:val="none" w:color="auto" w:sz="0" w:space="0"/>
              </w:rPr>
              <w:t>　　18.对在“新三板”成功股改挂牌的企业，给予每户企业100万元奖励；对在江苏股权交易中心或上海股权托管交易中心等地方性场外市场成功股改挂牌的企业，给予每户企业60万元奖励。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pPr>
            <w:r>
              <w:rPr>
                <w:rFonts w:hint="eastAsia" w:ascii="宋体" w:hAnsi="宋体" w:eastAsia="宋体" w:cs="宋体"/>
                <w:i w:val="0"/>
                <w:caps w:val="0"/>
                <w:color w:val="3D3D3D"/>
                <w:spacing w:val="0"/>
                <w:sz w:val="21"/>
                <w:szCs w:val="21"/>
                <w:bdr w:val="none" w:color="auto" w:sz="0" w:space="0"/>
              </w:rPr>
              <w:t>　　19.通过直接融资方式在资本市场实现融资（包括增发新股、发行公司债券、资产证券化、中票短融等方式），且募集资金投入县内项目建设的，按企业融资金额4‰给予奖励，奖励金额最高不超过100万元。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pPr>
            <w:r>
              <w:rPr>
                <w:rFonts w:hint="eastAsia" w:ascii="宋体" w:hAnsi="宋体" w:eastAsia="宋体" w:cs="宋体"/>
                <w:i w:val="0"/>
                <w:caps w:val="0"/>
                <w:color w:val="3D3D3D"/>
                <w:spacing w:val="0"/>
                <w:sz w:val="21"/>
                <w:szCs w:val="21"/>
                <w:bdr w:val="none" w:color="auto" w:sz="0" w:space="0"/>
              </w:rPr>
              <w:t>　　20.县财政已设立县级科技金融风险补偿资金池500万元，每年按20%以上增长率补充资金池，至2020年，县级科技金融风险补偿资金池达1000万元；推进“苏科贷”科技贷款实施，引导银行等金融机构加大对科技型企业的支持力度，简化审批流程，扩大“苏科贷”业务覆盖面和受益面，每年不少10家，并逐年增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pPr>
            <w:r>
              <w:rPr>
                <w:rFonts w:hint="eastAsia" w:ascii="宋体" w:hAnsi="宋体" w:eastAsia="宋体" w:cs="宋体"/>
                <w:i w:val="0"/>
                <w:caps w:val="0"/>
                <w:color w:val="3D3D3D"/>
                <w:spacing w:val="0"/>
                <w:sz w:val="21"/>
                <w:szCs w:val="21"/>
                <w:bdr w:val="none" w:color="auto" w:sz="0" w:space="0"/>
              </w:rPr>
              <w:t>　　七、加大对企业融合创新发展的支持力度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pPr>
            <w:r>
              <w:rPr>
                <w:rFonts w:hint="eastAsia" w:ascii="宋体" w:hAnsi="宋体" w:eastAsia="宋体" w:cs="宋体"/>
                <w:i w:val="0"/>
                <w:caps w:val="0"/>
                <w:color w:val="3D3D3D"/>
                <w:spacing w:val="0"/>
                <w:sz w:val="21"/>
                <w:szCs w:val="21"/>
                <w:bdr w:val="none" w:color="auto" w:sz="0" w:space="0"/>
              </w:rPr>
              <w:t>　　21.对纳入国家、省两化深度融合创新试点示范的企业分别奖励10万元、5万元，对实现达标的企业分别奖励20万元、10万元，同时纳入国家、省试点或达标的按就高不就低原则不重复奖励。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pPr>
            <w:r>
              <w:rPr>
                <w:rFonts w:hint="eastAsia" w:ascii="宋体" w:hAnsi="宋体" w:eastAsia="宋体" w:cs="宋体"/>
                <w:i w:val="0"/>
                <w:caps w:val="0"/>
                <w:color w:val="3D3D3D"/>
                <w:spacing w:val="0"/>
                <w:sz w:val="21"/>
                <w:szCs w:val="21"/>
                <w:bdr w:val="none" w:color="auto" w:sz="0" w:space="0"/>
              </w:rPr>
              <w:t>　　22.加大新一代信息网络、智能绿色制造等产业关键技术推广应用，对每年列入省智能制造项目，给予30万元奖励，同时积极争取省相关政策支持；新认定为省级示范智能车间，奖励20万元。以上奖励，优先争取国家、省、市专项资金支持，缺口部分由县财政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pPr>
            <w:r>
              <w:rPr>
                <w:rFonts w:hint="eastAsia" w:ascii="宋体" w:hAnsi="宋体" w:eastAsia="宋体" w:cs="宋体"/>
                <w:i w:val="0"/>
                <w:caps w:val="0"/>
                <w:color w:val="3D3D3D"/>
                <w:spacing w:val="0"/>
                <w:sz w:val="21"/>
                <w:szCs w:val="21"/>
                <w:bdr w:val="none" w:color="auto" w:sz="0" w:space="0"/>
              </w:rPr>
              <w:t>　　八、加大对创新人才队伍建设的支持力度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pPr>
            <w:r>
              <w:rPr>
                <w:rFonts w:hint="eastAsia" w:ascii="宋体" w:hAnsi="宋体" w:eastAsia="宋体" w:cs="宋体"/>
                <w:i w:val="0"/>
                <w:caps w:val="0"/>
                <w:color w:val="3D3D3D"/>
                <w:spacing w:val="0"/>
                <w:sz w:val="21"/>
                <w:szCs w:val="21"/>
                <w:bdr w:val="none" w:color="auto" w:sz="0" w:space="0"/>
              </w:rPr>
              <w:t>　　23.对企业引进的带技术、带项目的高校院所专家教授，最高发放100万元创新券；对引进的带技术、带项目、带资金的国家“千人计划”专家等高层次创业人才，实行一人一策，最高发放300万元创业券，并在厂房租赁、用地等方面给予相应优惠政策；对当年获批“科技副总”企业奖励2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pPr>
            <w:r>
              <w:rPr>
                <w:rFonts w:hint="eastAsia" w:ascii="宋体" w:hAnsi="宋体" w:eastAsia="宋体" w:cs="宋体"/>
                <w:i w:val="0"/>
                <w:caps w:val="0"/>
                <w:color w:val="3D3D3D"/>
                <w:spacing w:val="0"/>
                <w:sz w:val="21"/>
                <w:szCs w:val="21"/>
                <w:bdr w:val="none" w:color="auto" w:sz="0" w:space="0"/>
              </w:rPr>
              <w:t>　　24.创新人才培育方式，推动本土人才高端化，瞄准国家“千人计划”、“万人计划”人才培育目标，选取本地资质优、条件好的创业创新人才进行重点培育。对入选市“千名拔尖人才培养工程”第二层次培养对象给予每人每月500元资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pPr>
            <w:r>
              <w:rPr>
                <w:rFonts w:hint="eastAsia" w:ascii="宋体" w:hAnsi="宋体" w:eastAsia="宋体" w:cs="宋体"/>
                <w:i w:val="0"/>
                <w:caps w:val="0"/>
                <w:color w:val="3D3D3D"/>
                <w:spacing w:val="0"/>
                <w:sz w:val="21"/>
                <w:szCs w:val="21"/>
                <w:bdr w:val="none" w:color="auto" w:sz="0" w:space="0"/>
              </w:rPr>
              <w:t>　　25.将人才引进培养资金纳入县财政预算，每年不少于1000万元，专项用于实施人才引进培养。对县内产业园区和乡镇（街道）全民创业园内工业、农业、现代服务业民营企业全职引进和来泗投资创业（个人投资不少于50万元、占股不少于10%）的博士、硕士和“双一流”高校学士，在生活、购房等方面享受《泗阳县“泗水英才”引进培养三年行动计划》（泗政发〔2016〕22号）有关政策待遇。对省“双创计划”、市“集聚计划”人才和企业硕（博）士研究生优先安排入住人才公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pPr>
            <w:r>
              <w:rPr>
                <w:rFonts w:hint="eastAsia" w:ascii="宋体" w:hAnsi="宋体" w:eastAsia="宋体" w:cs="宋体"/>
                <w:i w:val="0"/>
                <w:caps w:val="0"/>
                <w:color w:val="3D3D3D"/>
                <w:spacing w:val="0"/>
                <w:sz w:val="21"/>
                <w:szCs w:val="21"/>
                <w:bdr w:val="none" w:color="auto" w:sz="0" w:space="0"/>
              </w:rPr>
              <w:t>　　九、加大对企业技术改造升级的支持力度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pPr>
            <w:r>
              <w:rPr>
                <w:rFonts w:hint="eastAsia" w:ascii="宋体" w:hAnsi="宋体" w:eastAsia="宋体" w:cs="宋体"/>
                <w:i w:val="0"/>
                <w:caps w:val="0"/>
                <w:color w:val="3D3D3D"/>
                <w:spacing w:val="0"/>
                <w:sz w:val="21"/>
                <w:szCs w:val="21"/>
                <w:bdr w:val="none" w:color="auto" w:sz="0" w:space="0"/>
              </w:rPr>
              <w:t>　　26.重点支持对纺织服装、家居制造等传统产业进行装备升级、技术升级，对符合产业发展导向目录，当年设备投资500万元以上、1000万元以下的技术改造项目（经核准或备案），按项目当年设备实际投资额的3%给予补助。设备投资1000万元以上技改项目按上级政策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pPr>
            <w:r>
              <w:rPr>
                <w:rFonts w:hint="eastAsia" w:ascii="宋体" w:hAnsi="宋体" w:eastAsia="宋体" w:cs="宋体"/>
                <w:i w:val="0"/>
                <w:caps w:val="0"/>
                <w:color w:val="3D3D3D"/>
                <w:spacing w:val="0"/>
                <w:sz w:val="21"/>
                <w:szCs w:val="21"/>
                <w:bdr w:val="none" w:color="auto" w:sz="0" w:space="0"/>
              </w:rPr>
              <w:t>　　27.对企业购置工业机器人、机器人集成系统或智能化制造系统用于提高生产效率的，给予企业设备购置款5%的奖励，奖励金额最高不超过100万元。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pPr>
            <w:r>
              <w:rPr>
                <w:rFonts w:hint="eastAsia" w:ascii="宋体" w:hAnsi="宋体" w:eastAsia="宋体" w:cs="宋体"/>
                <w:i w:val="0"/>
                <w:caps w:val="0"/>
                <w:color w:val="3D3D3D"/>
                <w:spacing w:val="0"/>
                <w:sz w:val="21"/>
                <w:szCs w:val="21"/>
                <w:bdr w:val="none" w:color="auto" w:sz="0" w:space="0"/>
              </w:rPr>
              <w:t>　　本意见自2017年11月2日起执行。凡同一类项目的奖励，上级也进行奖励的，按就高不重复原则执行；对重大项目采取一事一议，特事特办的办法；凡当年发生一般以上安全事故、重大环境污染事故、严重失信行为的单位，不得享受上述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pPr>
            <w:r>
              <w:rPr>
                <w:rFonts w:hint="eastAsia" w:ascii="宋体" w:hAnsi="宋体" w:eastAsia="宋体" w:cs="宋体"/>
                <w:i w:val="0"/>
                <w:caps w:val="0"/>
                <w:color w:val="3D3D3D"/>
                <w:spacing w:val="0"/>
                <w:sz w:val="21"/>
                <w:szCs w:val="21"/>
                <w:bdr w:val="none" w:color="auto" w:sz="0" w:space="0"/>
              </w:rPr>
              <w:t>　　本政策措施由县科技创新工作领导小组办公室负责解释。</w:t>
            </w:r>
          </w:p>
        </w:tc>
      </w:tr>
    </w:tbl>
    <w:p>
      <w:pPr>
        <w:rPr>
          <w:rFonts w:hint="eastAsia" w:ascii="微软雅黑" w:hAnsi="微软雅黑" w:eastAsia="微软雅黑" w:cs="微软雅黑"/>
          <w:i w:val="0"/>
          <w:caps w:val="0"/>
          <w:color w:val="121212"/>
          <w:spacing w:val="0"/>
          <w:sz w:val="21"/>
          <w:szCs w:val="21"/>
          <w:shd w:val="clear" w:fill="F0F0F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0000000000000000000"/>
    <w:charset w:val="00"/>
    <w:family w:val="auto"/>
    <w:pitch w:val="default"/>
    <w:sig w:usb0="00000000" w:usb1="00000000" w:usb2="00000000" w:usb3="00000000" w:csb0="00000000" w:csb1="00000000"/>
  </w:font>
  <w:font w:name="方正黑体_GBK">
    <w:altName w:val="Arial Unicode MS"/>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简仿宋">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6E7EC8"/>
    <w:rsid w:val="0F8837D7"/>
    <w:rsid w:val="13695F46"/>
    <w:rsid w:val="23521E14"/>
    <w:rsid w:val="3A1B3AD8"/>
    <w:rsid w:val="3BAF2CD2"/>
    <w:rsid w:val="456E7EC8"/>
    <w:rsid w:val="4E554D19"/>
    <w:rsid w:val="61F22F73"/>
    <w:rsid w:val="6CCC0D10"/>
    <w:rsid w:val="6D535020"/>
    <w:rsid w:val="7DC00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116</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2018-05-30T01:29:00Z</dcterms:created>
  <dc:creator>栾晓琴</dc:creator>
  <cp:lastModifiedBy>栾晓琴</cp:lastModifiedBy>
  <dcterms:modified xsi:type="dcterms:W3CDTF">2018-05-30T03:26:08Z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