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560" w:lineRule="exact"/>
        <w:jc w:val="left"/>
        <w:rPr>
          <w:rFonts w:hint="eastAsia" w:ascii="黑体" w:hAnsi="黑体" w:eastAsia="黑体"/>
          <w:lang w:val="en-US" w:eastAsia="zh-CN"/>
        </w:rPr>
      </w:pPr>
      <w:r>
        <w:rPr>
          <w:rFonts w:hint="eastAsia" w:ascii="黑体" w:hAnsi="黑体" w:eastAsia="黑体"/>
          <w:lang w:val="en-US" w:eastAsia="zh-CN"/>
        </w:rPr>
        <w:t>NHFG2017009</w:t>
      </w:r>
    </w:p>
    <w:p>
      <w:pPr>
        <w:pStyle w:val="15"/>
        <w:spacing w:line="500" w:lineRule="exact"/>
        <w:jc w:val="left"/>
        <w:rPr>
          <w:rFonts w:hint="eastAsia" w:ascii="黑体" w:hAnsi="黑体" w:eastAsia="黑体"/>
          <w:lang w:eastAsia="zh-CN"/>
        </w:rPr>
      </w:pPr>
      <w:r>
        <w:rPr>
          <w:rFonts w:hint="eastAsia" w:ascii="黑体" w:hAnsi="黑体" w:eastAsia="黑体"/>
          <w:lang w:eastAsia="zh-CN"/>
        </w:rPr>
        <w:t>主动公开</w:t>
      </w:r>
    </w:p>
    <w:p>
      <w:pPr>
        <w:pStyle w:val="15"/>
        <w:spacing w:line="500" w:lineRule="exact"/>
        <w:rPr>
          <w:rFonts w:hint="eastAsia"/>
        </w:rPr>
      </w:pPr>
    </w:p>
    <w:p>
      <w:pPr>
        <w:pStyle w:val="15"/>
        <w:spacing w:line="500" w:lineRule="exact"/>
        <w:rPr>
          <w:rFonts w:hint="eastAsia"/>
        </w:rPr>
      </w:pPr>
      <w:r>
        <w:pict>
          <v:group id="_x0000_s1026" o:spid="_x0000_s1026" o:spt="203" style="position:absolute;left:0pt;margin-left:-0.7pt;margin-top:9.9pt;height:146.25pt;width:448.3pt;z-index:-251654144;mso-width-relative:page;mso-height-relative:page;" coordsize="8966,2925">
            <o:lock v:ext="edit" grouping="f" rotation="f" text="f" aspectratio="f"/>
            <v:shape id="_x0000_s1027" o:spid="_x0000_s1027" o:spt="136" type="#_x0000_t136" style="position:absolute;left:661;top:0;height:735;width:7740;" fillcolor="#FF0000" filled="t" stroked="t" coordsize="21600,21600" adj="10800">
              <v:path/>
              <v:fill on="t" focussize="0,0"/>
              <v:stroke color="#FF0000"/>
              <v:imagedata o:title=""/>
              <o:lock v:ext="edit" grouping="f" rotation="f" text="f" aspectratio="f"/>
              <v:textpath on="t" fitshape="t" fitpath="t" trim="t" xscale="f" string="佛山市南海区人民政府文件" style="font-family:方正小标宋简体;font-size:32pt;font-weight:bold;v-text-align:center;"/>
            </v:shape>
            <v:line id="_x0000_s1028" o:spid="_x0000_s1028" o:spt="20" style="position:absolute;left:0;top:2925;height:1;width:8967;" filled="f" stroked="t" coordsize="21600,21600">
              <v:path arrowok="t"/>
              <v:fill on="f" focussize="0,0"/>
              <v:stroke weight="1.25pt" color="#FF0000"/>
              <v:imagedata o:title=""/>
              <o:lock v:ext="edit" grouping="f" rotation="f" text="f" aspectratio="f"/>
            </v:line>
          </v:group>
        </w:pict>
      </w:r>
    </w:p>
    <w:p>
      <w:pPr>
        <w:pStyle w:val="15"/>
        <w:spacing w:line="500" w:lineRule="exact"/>
        <w:rPr>
          <w:rFonts w:hint="eastAsia"/>
        </w:rPr>
      </w:pPr>
    </w:p>
    <w:p>
      <w:pPr>
        <w:pStyle w:val="15"/>
        <w:spacing w:line="500" w:lineRule="exact"/>
        <w:rPr>
          <w:rFonts w:hint="eastAsia"/>
        </w:rPr>
      </w:pPr>
    </w:p>
    <w:p>
      <w:pPr>
        <w:pStyle w:val="15"/>
        <w:spacing w:line="500" w:lineRule="exact"/>
        <w:rPr>
          <w:rFonts w:hint="eastAsia"/>
        </w:rPr>
      </w:pPr>
    </w:p>
    <w:p>
      <w:pPr>
        <w:pStyle w:val="15"/>
        <w:spacing w:line="500" w:lineRule="exact"/>
        <w:rPr>
          <w:rFonts w:hint="eastAsia"/>
        </w:rPr>
      </w:pPr>
    </w:p>
    <w:p>
      <w:pPr>
        <w:pStyle w:val="15"/>
        <w:jc w:val="center"/>
        <w:rPr>
          <w:rFonts w:hint="eastAsia" w:ascii="仿宋" w:hAnsi="仿宋"/>
        </w:rPr>
      </w:pPr>
      <w:r>
        <w:rPr>
          <w:rFonts w:hint="eastAsia" w:ascii="仿宋" w:hAnsi="仿宋"/>
        </w:rPr>
        <w:t>南府〔201</w:t>
      </w:r>
      <w:r>
        <w:rPr>
          <w:rFonts w:hint="eastAsia" w:ascii="仿宋" w:hAnsi="仿宋"/>
          <w:lang w:val="en-US" w:eastAsia="zh-CN"/>
        </w:rPr>
        <w:t>7</w:t>
      </w:r>
      <w:r>
        <w:rPr>
          <w:rFonts w:hint="eastAsia" w:ascii="仿宋" w:hAnsi="仿宋"/>
        </w:rPr>
        <w:t>〕</w:t>
      </w:r>
      <w:r>
        <w:rPr>
          <w:rFonts w:hint="eastAsia" w:ascii="仿宋" w:hAnsi="仿宋"/>
          <w:lang w:val="en-US" w:eastAsia="zh-CN"/>
        </w:rPr>
        <w:t>28</w:t>
      </w:r>
      <w:r>
        <w:rPr>
          <w:rFonts w:hint="eastAsia" w:ascii="仿宋" w:hAnsi="仿宋"/>
        </w:rPr>
        <w:t>号</w:t>
      </w:r>
    </w:p>
    <w:p>
      <w:pPr>
        <w:pStyle w:val="14"/>
        <w:spacing w:after="0" w:afterLines="0"/>
        <w:ind w:firstLine="340" w:firstLineChars="100"/>
        <w:rPr>
          <w:rFonts w:hint="eastAsia" w:eastAsia="黑体"/>
          <w:spacing w:val="10"/>
          <w:szCs w:val="44"/>
        </w:rPr>
      </w:pPr>
    </w:p>
    <w:p>
      <w:pPr>
        <w:pStyle w:val="14"/>
        <w:spacing w:after="0" w:afterLines="0"/>
        <w:ind w:firstLine="340" w:firstLineChars="100"/>
        <w:rPr>
          <w:rFonts w:hint="eastAsia" w:eastAsia="黑体"/>
          <w:spacing w:val="10"/>
          <w:szCs w:val="44"/>
        </w:rPr>
      </w:pPr>
    </w:p>
    <w:p>
      <w:pPr>
        <w:pStyle w:val="108"/>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rPr>
      </w:pPr>
      <w:bookmarkStart w:id="0" w:name="_GoBack"/>
      <w:r>
        <w:rPr>
          <w:rFonts w:hint="eastAsia" w:ascii="方正小标宋简体" w:hAnsi="方正小标宋简体" w:eastAsia="方正小标宋简体"/>
          <w:spacing w:val="-6"/>
          <w:sz w:val="44"/>
          <w:szCs w:val="44"/>
        </w:rPr>
        <w:t>佛山市南海区人民政府关于印发《佛山市南海区</w:t>
      </w:r>
      <w:bookmarkEnd w:id="0"/>
      <w:r>
        <w:rPr>
          <w:rFonts w:hint="eastAsia" w:ascii="方正小标宋简体" w:hAnsi="方正小标宋简体" w:eastAsia="方正小标宋简体"/>
          <w:sz w:val="44"/>
          <w:szCs w:val="44"/>
        </w:rPr>
        <w:t>促进新能源汽车产业发展扶持办法》的通知</w:t>
      </w:r>
    </w:p>
    <w:p>
      <w:pPr>
        <w:pStyle w:val="64"/>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 w:hAnsi="仿宋" w:eastAsia="仿宋"/>
        </w:rPr>
      </w:pPr>
      <w:r>
        <w:rPr>
          <w:rFonts w:hint="eastAsia" w:ascii="仿宋" w:hAnsi="仿宋" w:eastAsia="仿宋"/>
        </w:rPr>
        <w:t xml:space="preserve"> </w:t>
      </w:r>
    </w:p>
    <w:p>
      <w:pPr>
        <w:pStyle w:val="64"/>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 w:hAnsi="仿宋" w:eastAsia="仿宋"/>
        </w:rPr>
      </w:pPr>
      <w:r>
        <w:rPr>
          <w:rFonts w:hint="eastAsia" w:ascii="仿宋" w:hAnsi="仿宋" w:eastAsia="仿宋"/>
        </w:rPr>
        <w:t>各镇人民政府、街道办事处，区直局以上单位：</w:t>
      </w:r>
    </w:p>
    <w:p>
      <w:pPr>
        <w:pStyle w:val="64"/>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rPr>
      </w:pPr>
      <w:r>
        <w:rPr>
          <w:rFonts w:hint="eastAsia" w:ascii="仿宋" w:hAnsi="仿宋" w:eastAsia="仿宋"/>
        </w:rPr>
        <w:t>现将《佛山市南海区促进新能源汽车产业发展扶持办法》印发给你们，请认真贯彻执行。执行中遇到的问题，请迳向区发展规划和统计局（发改）反映。（联系人：林和盛，联系电话：86398013）</w:t>
      </w:r>
    </w:p>
    <w:p>
      <w:pPr>
        <w:pStyle w:val="64"/>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仿宋" w:hAnsi="仿宋" w:eastAsia="仿宋"/>
        </w:rPr>
      </w:pPr>
    </w:p>
    <w:p>
      <w:pPr>
        <w:pStyle w:val="64"/>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仿宋" w:hAnsi="仿宋" w:eastAsia="仿宋"/>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lang w:eastAsia="zh-CN"/>
        </w:rPr>
      </w:pPr>
      <w:r>
        <w:rPr>
          <w:rFonts w:hint="eastAsia" w:ascii="仿宋" w:hAnsi="仿宋" w:eastAsia="仿宋"/>
          <w:lang w:val="en-US" w:eastAsia="zh-CN"/>
        </w:rPr>
        <w:t xml:space="preserve">                               </w:t>
      </w:r>
      <w:r>
        <w:rPr>
          <w:rFonts w:hint="eastAsia" w:ascii="仿宋" w:hAnsi="仿宋" w:eastAsia="仿宋"/>
          <w:lang w:eastAsia="zh-CN"/>
        </w:rPr>
        <w:t>佛山市南海区人民政府</w:t>
      </w:r>
    </w:p>
    <w:p>
      <w:pPr>
        <w:pStyle w:val="64"/>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418" w:leftChars="-199" w:right="-218" w:rightChars="-104" w:firstLine="217" w:firstLineChars="68"/>
        <w:jc w:val="both"/>
        <w:textAlignment w:val="auto"/>
        <w:outlineLvl w:val="9"/>
        <w:rPr>
          <w:rFonts w:hint="eastAsia" w:ascii="仿宋" w:hAnsi="仿宋" w:eastAsia="仿宋"/>
        </w:rPr>
      </w:pPr>
      <w:r>
        <w:rPr>
          <w:rFonts w:hint="eastAsia" w:ascii="仿宋" w:hAnsi="仿宋" w:eastAsia="仿宋"/>
          <w:lang w:val="en-US" w:eastAsia="zh-CN"/>
        </w:rPr>
        <w:t xml:space="preserve">                                   </w:t>
      </w:r>
      <w:r>
        <w:rPr>
          <w:rFonts w:hint="eastAsia" w:ascii="仿宋" w:hAnsi="仿宋" w:eastAsia="仿宋"/>
        </w:rPr>
        <w:t>2017年</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14</w:t>
      </w:r>
      <w:r>
        <w:rPr>
          <w:rFonts w:hint="eastAsia" w:ascii="仿宋" w:hAnsi="仿宋" w:eastAsia="仿宋"/>
        </w:rPr>
        <w:t xml:space="preserve">日     </w:t>
      </w:r>
    </w:p>
    <w:p>
      <w:pPr>
        <w:pStyle w:val="108"/>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小标宋简体" w:eastAsia="方正小标宋简体"/>
          <w:spacing w:val="-8"/>
          <w:sz w:val="44"/>
          <w:szCs w:val="44"/>
        </w:rPr>
      </w:pPr>
    </w:p>
    <w:p>
      <w:pPr>
        <w:pStyle w:val="108"/>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小标宋简体" w:eastAsia="方正小标宋简体"/>
          <w:spacing w:val="-8"/>
          <w:sz w:val="44"/>
          <w:szCs w:val="44"/>
        </w:rPr>
      </w:pPr>
    </w:p>
    <w:p>
      <w:pPr>
        <w:pStyle w:val="108"/>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小标宋简体" w:eastAsia="方正小标宋简体"/>
          <w:spacing w:val="-8"/>
          <w:sz w:val="44"/>
          <w:szCs w:val="44"/>
        </w:rPr>
      </w:pPr>
      <w:r>
        <w:rPr>
          <w:rFonts w:hint="eastAsia" w:ascii="方正小标宋简体" w:eastAsia="方正小标宋简体"/>
          <w:spacing w:val="-8"/>
          <w:sz w:val="44"/>
          <w:szCs w:val="44"/>
        </w:rPr>
        <w:t>佛山市南海区促进新能源汽车产业</w:t>
      </w:r>
    </w:p>
    <w:p>
      <w:pPr>
        <w:pStyle w:val="108"/>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小标宋简体" w:eastAsia="方正小标宋简体"/>
          <w:spacing w:val="-8"/>
          <w:sz w:val="44"/>
          <w:szCs w:val="44"/>
        </w:rPr>
      </w:pPr>
      <w:r>
        <w:rPr>
          <w:rFonts w:hint="eastAsia" w:ascii="方正小标宋简体" w:eastAsia="方正小标宋简体"/>
          <w:spacing w:val="-8"/>
          <w:sz w:val="44"/>
          <w:szCs w:val="44"/>
        </w:rPr>
        <w:t>发展扶持办法</w:t>
      </w:r>
    </w:p>
    <w:p>
      <w:pPr>
        <w:pStyle w:val="64"/>
        <w:ind w:firstLine="640" w:firstLineChars="200"/>
        <w:rPr>
          <w:rFonts w:hint="eastAsia" w:ascii="仿宋" w:hAnsi="仿宋" w:eastAsia="黑体" w:cs="仿宋"/>
        </w:rPr>
      </w:pPr>
    </w:p>
    <w:p>
      <w:pPr>
        <w:pStyle w:val="64"/>
        <w:jc w:val="center"/>
        <w:rPr>
          <w:rFonts w:hint="eastAsia" w:ascii="方正小标宋简体" w:hAnsi="方正小标宋简体" w:eastAsia="方正小标宋简体" w:cs="仿宋"/>
          <w:b w:val="0"/>
          <w:bCs/>
        </w:rPr>
      </w:pPr>
      <w:r>
        <w:rPr>
          <w:rFonts w:hint="eastAsia" w:ascii="方正小标宋简体" w:hAnsi="方正小标宋简体" w:eastAsia="方正小标宋简体" w:cs="仿宋"/>
          <w:b w:val="0"/>
          <w:bCs/>
        </w:rPr>
        <w:t xml:space="preserve">第一章  总 </w:t>
      </w:r>
      <w:r>
        <w:rPr>
          <w:rFonts w:hint="eastAsia" w:ascii="方正小标宋简体" w:hAnsi="方正小标宋简体" w:eastAsia="方正小标宋简体" w:cs="仿宋"/>
          <w:b w:val="0"/>
          <w:bCs/>
          <w:lang w:val="en-US" w:eastAsia="zh-CN"/>
        </w:rPr>
        <w:t xml:space="preserve"> </w:t>
      </w:r>
      <w:r>
        <w:rPr>
          <w:rFonts w:hint="eastAsia" w:ascii="方正小标宋简体" w:hAnsi="方正小标宋简体" w:eastAsia="方正小标宋简体" w:cs="仿宋"/>
          <w:b w:val="0"/>
          <w:bCs/>
        </w:rPr>
        <w:t>则</w:t>
      </w:r>
    </w:p>
    <w:p>
      <w:pPr>
        <w:pStyle w:val="47"/>
        <w:autoSpaceDN w:val="0"/>
        <w:snapToGrid w:val="0"/>
        <w:spacing w:line="560" w:lineRule="exact"/>
        <w:rPr>
          <w:rFonts w:hint="eastAsia" w:ascii="仿宋" w:hAnsi="仿宋" w:eastAsia="仿宋" w:cs="仿宋"/>
          <w:sz w:val="32"/>
          <w:szCs w:val="32"/>
        </w:rPr>
      </w:pPr>
      <w:r>
        <w:rPr>
          <w:rFonts w:hint="eastAsia" w:ascii="仿宋" w:hAnsi="仿宋" w:eastAsia="黑体" w:cs="仿宋"/>
          <w:sz w:val="32"/>
          <w:szCs w:val="32"/>
          <w:lang w:val="en-US" w:eastAsia="zh-CN"/>
        </w:rPr>
        <w:t xml:space="preserve">    </w:t>
      </w:r>
      <w:r>
        <w:rPr>
          <w:rFonts w:hint="eastAsia" w:ascii="仿宋" w:hAnsi="仿宋" w:eastAsia="黑体" w:cs="仿宋"/>
          <w:sz w:val="32"/>
          <w:szCs w:val="32"/>
        </w:rPr>
        <w:t>第一条</w:t>
      </w:r>
      <w:r>
        <w:rPr>
          <w:rFonts w:hint="eastAsia" w:ascii="仿宋" w:hAnsi="仿宋" w:eastAsia="黑体" w:cs="仿宋"/>
          <w:sz w:val="32"/>
          <w:szCs w:val="32"/>
          <w:lang w:val="en-US" w:eastAsia="zh-CN"/>
        </w:rPr>
        <w:t xml:space="preserve">  </w:t>
      </w:r>
      <w:r>
        <w:rPr>
          <w:rFonts w:hint="eastAsia" w:ascii="仿宋" w:hAnsi="仿宋" w:eastAsia="仿宋" w:cs="仿宋"/>
          <w:sz w:val="32"/>
          <w:szCs w:val="32"/>
        </w:rPr>
        <w:t>为培育和壮大我区新能源汽车产业，推动我区传统汽车产业转型升级，营造良好的产业发展氛围，加快产业集聚园区建设，打造新能源汽车产业成为我区经济发展的新增长点，进而抢占未来产业发展和竞争制高点，结合</w:t>
      </w:r>
      <w:r>
        <w:rPr>
          <w:rFonts w:hint="eastAsia" w:ascii="仿宋" w:hAnsi="仿宋" w:eastAsia="仿宋" w:cs="仿宋"/>
          <w:sz w:val="32"/>
          <w:szCs w:val="32"/>
          <w:lang w:eastAsia="zh-CN"/>
        </w:rPr>
        <w:t>我</w:t>
      </w:r>
      <w:r>
        <w:rPr>
          <w:rFonts w:hint="eastAsia" w:ascii="仿宋" w:hAnsi="仿宋" w:eastAsia="仿宋" w:cs="仿宋"/>
          <w:sz w:val="32"/>
          <w:szCs w:val="32"/>
        </w:rPr>
        <w:t>区实际，特制定本办法。</w:t>
      </w:r>
    </w:p>
    <w:p>
      <w:pPr>
        <w:pStyle w:val="64"/>
        <w:spacing w:line="560" w:lineRule="exact"/>
        <w:ind w:firstLine="640" w:firstLineChars="200"/>
        <w:rPr>
          <w:rFonts w:hint="eastAsia" w:ascii="仿宋" w:hAnsi="仿宋" w:eastAsia="仿宋" w:cs="仿宋"/>
        </w:rPr>
      </w:pPr>
      <w:r>
        <w:rPr>
          <w:rFonts w:hint="eastAsia" w:ascii="仿宋" w:hAnsi="仿宋" w:eastAsia="黑体" w:cs="仿宋"/>
          <w:kern w:val="0"/>
        </w:rPr>
        <w:t xml:space="preserve">第二条 </w:t>
      </w:r>
      <w:r>
        <w:rPr>
          <w:rFonts w:hint="eastAsia" w:ascii="仿宋" w:hAnsi="仿宋" w:eastAsia="仿宋" w:cs="仿宋"/>
          <w:kern w:val="0"/>
        </w:rPr>
        <w:t xml:space="preserve"> 本办法所称的</w:t>
      </w:r>
      <w:r>
        <w:rPr>
          <w:rFonts w:hint="eastAsia" w:ascii="仿宋" w:hAnsi="仿宋" w:eastAsia="仿宋" w:cs="仿宋"/>
        </w:rPr>
        <w:t>新能源汽车产业，是指从事新能源汽车整车、核心零部件及其生产设备、检测试验仪器、新能源供应设备等产品生产及关键技术研发的行业。</w:t>
      </w:r>
    </w:p>
    <w:p>
      <w:pPr>
        <w:pStyle w:val="64"/>
        <w:spacing w:line="560" w:lineRule="exact"/>
        <w:ind w:firstLine="640" w:firstLineChars="200"/>
        <w:rPr>
          <w:rFonts w:hint="eastAsia" w:ascii="仿宋" w:hAnsi="仿宋" w:eastAsia="仿宋" w:cs="仿宋"/>
        </w:rPr>
      </w:pPr>
      <w:r>
        <w:rPr>
          <w:rFonts w:hint="eastAsia" w:ascii="仿宋" w:hAnsi="仿宋" w:eastAsia="仿宋" w:cs="仿宋"/>
          <w:kern w:val="0"/>
        </w:rPr>
        <w:t>新能源汽车是指</w:t>
      </w:r>
      <w:r>
        <w:rPr>
          <w:rFonts w:hint="eastAsia" w:ascii="仿宋" w:hAnsi="仿宋" w:eastAsia="仿宋" w:cs="仿宋"/>
        </w:rPr>
        <w:t>纯电动汽车、插电式混合动力（含增程式）汽车和燃料电池汽车。</w:t>
      </w:r>
    </w:p>
    <w:p>
      <w:pPr>
        <w:pStyle w:val="64"/>
        <w:spacing w:line="560" w:lineRule="exact"/>
        <w:ind w:firstLine="640" w:firstLineChars="200"/>
        <w:rPr>
          <w:rFonts w:hint="eastAsia" w:ascii="仿宋" w:hAnsi="仿宋" w:eastAsia="仿宋" w:cs="仿宋"/>
        </w:rPr>
      </w:pPr>
      <w:r>
        <w:rPr>
          <w:rFonts w:hint="eastAsia" w:ascii="仿宋" w:hAnsi="仿宋" w:eastAsia="仿宋" w:cs="仿宋"/>
          <w:kern w:val="0"/>
        </w:rPr>
        <w:t>新能源汽车</w:t>
      </w:r>
      <w:r>
        <w:rPr>
          <w:rFonts w:hint="eastAsia" w:ascii="仿宋" w:hAnsi="仿宋" w:eastAsia="仿宋" w:cs="仿宋"/>
        </w:rPr>
        <w:t>核心零部件是指新能源汽车的动力系统、驱动系统、控制系统及其关键零部件。</w:t>
      </w:r>
    </w:p>
    <w:p>
      <w:pPr>
        <w:pStyle w:val="64"/>
        <w:spacing w:line="560" w:lineRule="exact"/>
        <w:ind w:firstLine="640" w:firstLineChars="200"/>
        <w:rPr>
          <w:rFonts w:hint="eastAsia" w:ascii="仿宋" w:hAnsi="仿宋" w:eastAsia="仿宋" w:cs="仿宋"/>
        </w:rPr>
      </w:pPr>
      <w:r>
        <w:rPr>
          <w:rFonts w:hint="eastAsia" w:ascii="仿宋" w:hAnsi="仿宋" w:eastAsia="仿宋" w:cs="仿宋"/>
        </w:rPr>
        <w:t>检测试验仪器是指新能源汽车的动力系统、驱动系统、控制系统的检测试验装置。</w:t>
      </w:r>
    </w:p>
    <w:p>
      <w:pPr>
        <w:pStyle w:val="64"/>
        <w:spacing w:line="560" w:lineRule="exact"/>
        <w:ind w:firstLine="640" w:firstLineChars="200"/>
        <w:rPr>
          <w:rFonts w:hint="eastAsia" w:ascii="仿宋" w:hAnsi="仿宋" w:eastAsia="仿宋" w:cs="仿宋"/>
        </w:rPr>
      </w:pPr>
      <w:r>
        <w:rPr>
          <w:rFonts w:hint="eastAsia" w:ascii="仿宋" w:hAnsi="仿宋" w:eastAsia="仿宋" w:cs="仿宋"/>
        </w:rPr>
        <w:t>新能源供应设备是指新能源汽车直流充电设备，氢燃料生产、储存、加注等设备及其关键部件。</w:t>
      </w:r>
    </w:p>
    <w:p>
      <w:pPr>
        <w:pStyle w:val="64"/>
        <w:spacing w:line="560" w:lineRule="exact"/>
        <w:ind w:firstLine="640" w:firstLineChars="200"/>
        <w:rPr>
          <w:rFonts w:hint="eastAsia" w:ascii="仿宋" w:hAnsi="仿宋" w:eastAsia="仿宋" w:cs="仿宋"/>
        </w:rPr>
      </w:pPr>
      <w:r>
        <w:rPr>
          <w:rFonts w:hint="eastAsia" w:ascii="仿宋" w:hAnsi="仿宋" w:eastAsia="黑体"/>
          <w:kern w:val="0"/>
        </w:rPr>
        <w:t>第三条</w:t>
      </w:r>
      <w:r>
        <w:rPr>
          <w:rFonts w:hint="eastAsia" w:ascii="仿宋" w:hAnsi="仿宋" w:eastAsia="仿宋"/>
          <w:kern w:val="0"/>
        </w:rPr>
        <w:t xml:space="preserve">  </w:t>
      </w:r>
      <w:r>
        <w:rPr>
          <w:rFonts w:hint="eastAsia" w:ascii="仿宋" w:hAnsi="仿宋" w:eastAsia="仿宋" w:cs="仿宋"/>
        </w:rPr>
        <w:t>我区设立南海区新能源汽车产业发展扶持专项资金，</w:t>
      </w:r>
      <w:r>
        <w:rPr>
          <w:rFonts w:hint="eastAsia" w:ascii="仿宋" w:hAnsi="仿宋" w:eastAsia="仿宋" w:cs="仿宋"/>
          <w:color w:val="000000"/>
        </w:rPr>
        <w:t>由区</w:t>
      </w:r>
      <w:r>
        <w:rPr>
          <w:rFonts w:hint="eastAsia" w:ascii="仿宋" w:hAnsi="仿宋" w:eastAsia="仿宋"/>
          <w:kern w:val="0"/>
        </w:rPr>
        <w:t>发展规划和统计局（发改）</w:t>
      </w:r>
      <w:r>
        <w:rPr>
          <w:rFonts w:hint="eastAsia" w:ascii="仿宋" w:hAnsi="仿宋" w:eastAsia="仿宋" w:cs="仿宋"/>
          <w:color w:val="000000"/>
        </w:rPr>
        <w:t>负责</w:t>
      </w:r>
      <w:r>
        <w:rPr>
          <w:rFonts w:hint="eastAsia" w:ascii="仿宋" w:hAnsi="仿宋" w:eastAsia="仿宋" w:cs="Arial"/>
          <w:kern w:val="0"/>
        </w:rPr>
        <w:t>编制年度资金预算，并申请纳入年度财政预算安排。专项资金</w:t>
      </w:r>
      <w:r>
        <w:rPr>
          <w:rFonts w:hint="eastAsia" w:ascii="仿宋" w:hAnsi="仿宋" w:eastAsia="仿宋" w:cs="仿宋"/>
        </w:rPr>
        <w:t>用于扶持：</w:t>
      </w:r>
    </w:p>
    <w:p>
      <w:pPr>
        <w:pStyle w:val="64"/>
        <w:spacing w:line="560" w:lineRule="exact"/>
        <w:ind w:firstLine="640" w:firstLineChars="200"/>
        <w:rPr>
          <w:rFonts w:ascii="仿宋" w:hAnsi="仿宋" w:eastAsia="仿宋" w:cs="仿宋"/>
        </w:rPr>
      </w:pPr>
      <w:r>
        <w:rPr>
          <w:rFonts w:hint="eastAsia" w:ascii="仿宋" w:hAnsi="仿宋" w:eastAsia="仿宋" w:cs="仿宋"/>
        </w:rPr>
        <w:t>（一）</w:t>
      </w:r>
      <w:r>
        <w:rPr>
          <w:rFonts w:hint="eastAsia" w:eastAsia="仿宋"/>
          <w:kern w:val="0"/>
        </w:rPr>
        <w:t>在南海区</w:t>
      </w:r>
      <w:r>
        <w:rPr>
          <w:rFonts w:hint="eastAsia" w:ascii="仿宋" w:hAnsi="仿宋" w:eastAsia="仿宋"/>
          <w:kern w:val="0"/>
        </w:rPr>
        <w:t>新设立的新能源汽车产业企业，区内现有从事新能源汽车产业新增投资或实施转型从事新能源汽车产业的生产企业</w:t>
      </w:r>
      <w:r>
        <w:rPr>
          <w:rFonts w:hint="eastAsia" w:eastAsia="仿宋"/>
          <w:kern w:val="0"/>
        </w:rPr>
        <w:t>。</w:t>
      </w:r>
    </w:p>
    <w:p>
      <w:pPr>
        <w:pStyle w:val="64"/>
        <w:spacing w:line="560" w:lineRule="exact"/>
        <w:ind w:firstLine="640" w:firstLineChars="200"/>
        <w:rPr>
          <w:rFonts w:ascii="仿宋" w:hAnsi="仿宋" w:eastAsia="仿宋"/>
          <w:kern w:val="0"/>
        </w:rPr>
      </w:pPr>
      <w:r>
        <w:rPr>
          <w:rFonts w:hint="eastAsia" w:ascii="仿宋" w:hAnsi="仿宋" w:eastAsia="仿宋"/>
          <w:kern w:val="0"/>
        </w:rPr>
        <w:t>（二）引导新能源汽车产业企业向</w:t>
      </w:r>
      <w:r>
        <w:rPr>
          <w:rFonts w:hint="eastAsia" w:ascii="仿宋" w:hAnsi="仿宋" w:eastAsia="仿宋" w:cs="仿宋"/>
        </w:rPr>
        <w:t>广东新能源汽车核心部件产业基地核心区（丹灶）集聚发展。</w:t>
      </w:r>
    </w:p>
    <w:p>
      <w:pPr>
        <w:pStyle w:val="64"/>
        <w:spacing w:line="560" w:lineRule="exact"/>
        <w:ind w:firstLine="643" w:firstLineChars="200"/>
        <w:rPr>
          <w:rFonts w:hint="eastAsia" w:ascii="仿宋" w:hAnsi="仿宋" w:eastAsia="仿宋"/>
          <w:b/>
        </w:rPr>
      </w:pPr>
    </w:p>
    <w:p>
      <w:pPr>
        <w:pStyle w:val="64"/>
        <w:jc w:val="center"/>
        <w:rPr>
          <w:rFonts w:hint="eastAsia" w:ascii="方正小标宋简体" w:hAnsi="方正小标宋简体" w:eastAsia="方正小标宋简体" w:cs="仿宋"/>
          <w:b w:val="0"/>
          <w:bCs/>
        </w:rPr>
      </w:pPr>
      <w:r>
        <w:rPr>
          <w:rFonts w:hint="eastAsia" w:ascii="方正小标宋简体" w:hAnsi="方正小标宋简体" w:eastAsia="方正小标宋简体" w:cs="仿宋"/>
          <w:b w:val="0"/>
          <w:bCs/>
        </w:rPr>
        <w:t>第二章  扶持政策</w:t>
      </w:r>
    </w:p>
    <w:p>
      <w:pPr>
        <w:pStyle w:val="64"/>
        <w:spacing w:line="560" w:lineRule="exact"/>
        <w:ind w:firstLine="640" w:firstLineChars="200"/>
        <w:rPr>
          <w:rFonts w:hint="eastAsia" w:ascii="仿宋" w:hAnsi="仿宋" w:eastAsia="仿宋"/>
          <w:kern w:val="0"/>
        </w:rPr>
      </w:pPr>
      <w:r>
        <w:rPr>
          <w:rFonts w:hint="eastAsia" w:ascii="仿宋" w:hAnsi="仿宋" w:eastAsia="黑体"/>
          <w:kern w:val="0"/>
        </w:rPr>
        <w:t>第四条</w:t>
      </w:r>
      <w:r>
        <w:rPr>
          <w:rFonts w:hint="eastAsia" w:ascii="仿宋" w:hAnsi="仿宋" w:eastAsia="仿宋"/>
          <w:kern w:val="0"/>
        </w:rPr>
        <w:t xml:space="preserve">  鼓励国内外投资者在南海区投资建设</w:t>
      </w:r>
      <w:r>
        <w:rPr>
          <w:rFonts w:hint="eastAsia" w:ascii="仿宋" w:hAnsi="仿宋" w:eastAsia="仿宋"/>
          <w:color w:val="000000"/>
          <w:kern w:val="0"/>
        </w:rPr>
        <w:t>新能源汽车产业企业。对符合扶持范围新设立的、区内现有从事新</w:t>
      </w:r>
      <w:r>
        <w:rPr>
          <w:rFonts w:hint="eastAsia" w:ascii="仿宋" w:hAnsi="仿宋" w:eastAsia="仿宋"/>
          <w:kern w:val="0"/>
        </w:rPr>
        <w:t>能源汽车产业企业新增投资的或区内现有非新能源汽车产业企业实施转型的，承诺在区内从事新能源汽车产业生产、研发经营活动和纳税，并形成实际投资的前10</w:t>
      </w:r>
      <w:r>
        <w:rPr>
          <w:rFonts w:ascii="仿宋" w:hAnsi="仿宋" w:eastAsia="仿宋"/>
          <w:kern w:val="0"/>
        </w:rPr>
        <w:t>0</w:t>
      </w:r>
      <w:r>
        <w:rPr>
          <w:rFonts w:hint="eastAsia" w:ascii="仿宋" w:hAnsi="仿宋" w:eastAsia="仿宋"/>
          <w:kern w:val="0"/>
        </w:rPr>
        <w:t>家新能源汽车产业企业，给予一次性奖励。</w:t>
      </w:r>
    </w:p>
    <w:p>
      <w:pPr>
        <w:pStyle w:val="64"/>
        <w:spacing w:line="560" w:lineRule="exact"/>
        <w:ind w:firstLine="640" w:firstLineChars="200"/>
        <w:rPr>
          <w:rFonts w:hint="eastAsia" w:ascii="仿宋" w:hAnsi="仿宋" w:eastAsia="仿宋" w:cs="仿宋"/>
        </w:rPr>
      </w:pPr>
      <w:r>
        <w:rPr>
          <w:rFonts w:hint="eastAsia" w:ascii="仿宋" w:hAnsi="仿宋" w:eastAsia="仿宋"/>
          <w:kern w:val="0"/>
        </w:rPr>
        <w:t>（一）总投资（不含地价，以投资新能源汽车产业的投资并经有资质的第三方评估机构评估结果为准，下同）4000万元及以上的企业，给予一次性奖励5</w:t>
      </w:r>
      <w:r>
        <w:rPr>
          <w:rFonts w:ascii="仿宋" w:hAnsi="仿宋" w:eastAsia="仿宋"/>
          <w:kern w:val="0"/>
        </w:rPr>
        <w:t>00</w:t>
      </w:r>
      <w:r>
        <w:rPr>
          <w:rFonts w:hint="eastAsia" w:ascii="仿宋" w:hAnsi="仿宋" w:eastAsia="仿宋"/>
          <w:kern w:val="0"/>
        </w:rPr>
        <w:t>万元。（奖励前10家）</w:t>
      </w:r>
    </w:p>
    <w:p>
      <w:pPr>
        <w:pStyle w:val="64"/>
        <w:spacing w:line="560" w:lineRule="exact"/>
        <w:rPr>
          <w:rFonts w:ascii="仿宋" w:hAnsi="仿宋" w:eastAsia="仿宋"/>
          <w:kern w:val="0"/>
        </w:rPr>
      </w:pPr>
      <w:r>
        <w:rPr>
          <w:rFonts w:hint="eastAsia" w:ascii="仿宋" w:hAnsi="仿宋" w:eastAsia="仿宋"/>
          <w:kern w:val="0"/>
        </w:rPr>
        <w:t xml:space="preserve">    （二）总投资2000万元—4000万元（不含）的企业，给予一次性奖励2</w:t>
      </w:r>
      <w:r>
        <w:rPr>
          <w:rFonts w:ascii="仿宋" w:hAnsi="仿宋" w:eastAsia="仿宋"/>
          <w:kern w:val="0"/>
        </w:rPr>
        <w:t>00</w:t>
      </w:r>
      <w:r>
        <w:rPr>
          <w:rFonts w:hint="eastAsia" w:ascii="仿宋" w:hAnsi="仿宋" w:eastAsia="仿宋"/>
          <w:kern w:val="0"/>
        </w:rPr>
        <w:t>万元。（奖励前20家）</w:t>
      </w:r>
    </w:p>
    <w:p>
      <w:pPr>
        <w:pStyle w:val="64"/>
        <w:spacing w:line="560" w:lineRule="exact"/>
        <w:ind w:firstLine="640" w:firstLineChars="200"/>
        <w:rPr>
          <w:rFonts w:hint="eastAsia" w:ascii="仿宋" w:hAnsi="仿宋" w:eastAsia="仿宋"/>
          <w:kern w:val="0"/>
        </w:rPr>
      </w:pPr>
      <w:r>
        <w:rPr>
          <w:rFonts w:hint="eastAsia" w:ascii="仿宋" w:hAnsi="仿宋" w:eastAsia="仿宋"/>
          <w:kern w:val="0"/>
        </w:rPr>
        <w:t>（三）总投资1000万元</w:t>
      </w:r>
      <w:r>
        <w:rPr>
          <w:rFonts w:hint="eastAsia" w:ascii="仿宋" w:hAnsi="仿宋" w:eastAsia="仿宋"/>
          <w:kern w:val="0"/>
          <w:lang w:eastAsia="zh-CN"/>
        </w:rPr>
        <w:t>—</w:t>
      </w:r>
      <w:r>
        <w:rPr>
          <w:rFonts w:hint="eastAsia" w:ascii="仿宋" w:hAnsi="仿宋" w:eastAsia="仿宋"/>
          <w:kern w:val="0"/>
        </w:rPr>
        <w:t>2000万元（不含）的企业，给予一次性奖励1</w:t>
      </w:r>
      <w:r>
        <w:rPr>
          <w:rFonts w:ascii="仿宋" w:hAnsi="仿宋" w:eastAsia="仿宋"/>
          <w:kern w:val="0"/>
        </w:rPr>
        <w:t>00</w:t>
      </w:r>
      <w:r>
        <w:rPr>
          <w:rFonts w:hint="eastAsia" w:ascii="仿宋" w:hAnsi="仿宋" w:eastAsia="仿宋"/>
          <w:kern w:val="0"/>
        </w:rPr>
        <w:t>万元。（奖励前30家）</w:t>
      </w:r>
    </w:p>
    <w:p>
      <w:pPr>
        <w:pStyle w:val="64"/>
        <w:spacing w:line="560" w:lineRule="exact"/>
        <w:ind w:firstLine="640" w:firstLineChars="200"/>
        <w:rPr>
          <w:rFonts w:ascii="仿宋" w:hAnsi="仿宋" w:eastAsia="仿宋"/>
          <w:kern w:val="0"/>
        </w:rPr>
      </w:pPr>
      <w:r>
        <w:rPr>
          <w:rFonts w:hint="eastAsia" w:ascii="仿宋" w:hAnsi="仿宋" w:eastAsia="仿宋"/>
          <w:kern w:val="0"/>
        </w:rPr>
        <w:t>（四）总投资300万元</w:t>
      </w:r>
      <w:r>
        <w:rPr>
          <w:rFonts w:hint="eastAsia" w:ascii="仿宋" w:hAnsi="仿宋" w:eastAsia="仿宋"/>
          <w:kern w:val="0"/>
          <w:lang w:eastAsia="zh-CN"/>
        </w:rPr>
        <w:t>—</w:t>
      </w:r>
      <w:r>
        <w:rPr>
          <w:rFonts w:hint="eastAsia" w:ascii="仿宋" w:hAnsi="仿宋" w:eastAsia="仿宋"/>
          <w:kern w:val="0"/>
        </w:rPr>
        <w:t>1000万元（不含）的企业，给予一次性奖励3</w:t>
      </w:r>
      <w:r>
        <w:rPr>
          <w:rFonts w:ascii="仿宋" w:hAnsi="仿宋" w:eastAsia="仿宋"/>
          <w:kern w:val="0"/>
        </w:rPr>
        <w:t>0</w:t>
      </w:r>
      <w:r>
        <w:rPr>
          <w:rFonts w:hint="eastAsia" w:ascii="仿宋" w:hAnsi="仿宋" w:eastAsia="仿宋"/>
          <w:kern w:val="0"/>
        </w:rPr>
        <w:t>万元。（奖励前40家）</w:t>
      </w:r>
    </w:p>
    <w:p>
      <w:pPr>
        <w:pStyle w:val="64"/>
        <w:spacing w:line="560" w:lineRule="exact"/>
        <w:ind w:firstLine="640" w:firstLineChars="200"/>
        <w:rPr>
          <w:rFonts w:ascii="仿宋" w:hAnsi="仿宋" w:eastAsia="仿宋"/>
          <w:kern w:val="0"/>
        </w:rPr>
      </w:pPr>
      <w:r>
        <w:rPr>
          <w:rFonts w:hint="eastAsia" w:ascii="仿宋" w:hAnsi="仿宋" w:eastAsia="仿宋"/>
          <w:kern w:val="0"/>
        </w:rPr>
        <w:t>（五）对区内现有专业从事新能源汽车产业或者实施转型从事新能源汽车产业的生产企业</w:t>
      </w:r>
      <w:r>
        <w:rPr>
          <w:rFonts w:hint="eastAsia" w:ascii="仿宋" w:hAnsi="仿宋" w:eastAsia="仿宋"/>
        </w:rPr>
        <w:t>实际新增的投资额达到相应规模</w:t>
      </w:r>
      <w:r>
        <w:rPr>
          <w:rFonts w:hint="eastAsia" w:ascii="仿宋" w:hAnsi="仿宋" w:eastAsia="仿宋"/>
          <w:kern w:val="0"/>
        </w:rPr>
        <w:t>，经认定后，参照本条措施给予扶持。</w:t>
      </w:r>
    </w:p>
    <w:p>
      <w:pPr>
        <w:pStyle w:val="64"/>
        <w:spacing w:line="560" w:lineRule="exact"/>
        <w:ind w:firstLine="640" w:firstLineChars="200"/>
        <w:rPr>
          <w:rFonts w:hint="eastAsia" w:ascii="仿宋" w:hAnsi="仿宋" w:eastAsia="仿宋"/>
        </w:rPr>
      </w:pPr>
      <w:r>
        <w:rPr>
          <w:rFonts w:hint="eastAsia" w:ascii="仿宋" w:hAnsi="仿宋" w:eastAsia="黑体"/>
          <w:kern w:val="0"/>
        </w:rPr>
        <w:t xml:space="preserve">第五条  </w:t>
      </w:r>
      <w:r>
        <w:rPr>
          <w:rFonts w:hint="eastAsia" w:ascii="仿宋" w:hAnsi="仿宋" w:eastAsia="仿宋"/>
        </w:rPr>
        <w:t>财政贡献奖励。对2017年1月1日前在南海区内登记注册的</w:t>
      </w:r>
      <w:r>
        <w:rPr>
          <w:rFonts w:hint="eastAsia" w:ascii="仿宋" w:hAnsi="仿宋" w:eastAsia="仿宋"/>
          <w:color w:val="000000"/>
          <w:kern w:val="0"/>
        </w:rPr>
        <w:t>新能源汽车产业企业</w:t>
      </w:r>
      <w:r>
        <w:rPr>
          <w:rFonts w:hint="eastAsia" w:ascii="仿宋" w:hAnsi="仿宋" w:eastAsia="仿宋"/>
        </w:rPr>
        <w:t>，2017</w:t>
      </w:r>
      <w:r>
        <w:rPr>
          <w:rFonts w:hint="eastAsia" w:ascii="仿宋" w:hAnsi="仿宋" w:eastAsia="仿宋"/>
          <w:lang w:eastAsia="zh-CN"/>
        </w:rPr>
        <w:t>—</w:t>
      </w:r>
      <w:r>
        <w:rPr>
          <w:rFonts w:hint="eastAsia" w:ascii="仿宋" w:hAnsi="仿宋" w:eastAsia="仿宋"/>
        </w:rPr>
        <w:t>2019年</w:t>
      </w:r>
      <w:r>
        <w:rPr>
          <w:rFonts w:hint="eastAsia" w:ascii="仿宋" w:hAnsi="仿宋" w:eastAsia="仿宋"/>
          <w:lang w:val="en-US" w:eastAsia="zh-CN"/>
        </w:rPr>
        <w:t>3</w:t>
      </w:r>
      <w:r>
        <w:rPr>
          <w:rFonts w:hint="eastAsia" w:ascii="仿宋" w:hAnsi="仿宋" w:eastAsia="仿宋"/>
        </w:rPr>
        <w:t>年分别按企业对南海区地方财政新增贡献额度的100%、100%、50%比例标准对企业进行奖励；对2017年1月1日后在南海区内登记注册，并在本办法有效期内投产的</w:t>
      </w:r>
      <w:r>
        <w:rPr>
          <w:rFonts w:hint="eastAsia" w:ascii="仿宋" w:hAnsi="仿宋" w:eastAsia="仿宋"/>
          <w:color w:val="000000"/>
          <w:kern w:val="0"/>
        </w:rPr>
        <w:t>新能源汽车产业企业</w:t>
      </w:r>
      <w:r>
        <w:rPr>
          <w:rFonts w:hint="eastAsia" w:ascii="仿宋" w:hAnsi="仿宋" w:eastAsia="仿宋"/>
        </w:rPr>
        <w:t>，自投产当月起前</w:t>
      </w:r>
      <w:r>
        <w:rPr>
          <w:rFonts w:hint="eastAsia" w:ascii="仿宋" w:hAnsi="仿宋" w:eastAsia="仿宋"/>
          <w:lang w:val="en-US" w:eastAsia="zh-CN"/>
        </w:rPr>
        <w:t>3</w:t>
      </w:r>
      <w:r>
        <w:rPr>
          <w:rFonts w:hint="eastAsia" w:ascii="仿宋" w:hAnsi="仿宋" w:eastAsia="仿宋"/>
        </w:rPr>
        <w:t>年分别按企业对南海区地方财政贡献额度的100%、100%、50%比例标准对企业进行奖励。</w:t>
      </w:r>
    </w:p>
    <w:p>
      <w:pPr>
        <w:pStyle w:val="64"/>
        <w:widowControl/>
        <w:autoSpaceDN w:val="0"/>
        <w:spacing w:line="560" w:lineRule="exact"/>
        <w:ind w:firstLine="630"/>
        <w:rPr>
          <w:rFonts w:hint="eastAsia" w:ascii="仿宋" w:hAnsi="仿宋" w:eastAsia="仿宋"/>
          <w:color w:val="000000"/>
          <w:kern w:val="0"/>
        </w:rPr>
      </w:pPr>
      <w:r>
        <w:rPr>
          <w:rFonts w:hint="eastAsia" w:ascii="仿宋" w:hAnsi="仿宋" w:eastAsia="黑体"/>
        </w:rPr>
        <w:t>第六条</w:t>
      </w:r>
      <w:r>
        <w:rPr>
          <w:rFonts w:hint="eastAsia" w:ascii="仿宋" w:hAnsi="仿宋" w:eastAsia="仿宋"/>
        </w:rPr>
        <w:t xml:space="preserve">  </w:t>
      </w:r>
      <w:r>
        <w:rPr>
          <w:rFonts w:hint="eastAsia" w:ascii="仿宋" w:hAnsi="仿宋" w:eastAsia="仿宋"/>
          <w:kern w:val="0"/>
        </w:rPr>
        <w:t>为促进新能源汽车产业集聚发展，给予新进驻广东新能源汽车核心部件产业基地核心区（丹灶）前50家</w:t>
      </w:r>
      <w:r>
        <w:rPr>
          <w:rFonts w:hint="eastAsia" w:ascii="仿宋" w:hAnsi="仿宋" w:eastAsia="仿宋"/>
          <w:color w:val="000000"/>
          <w:kern w:val="0"/>
        </w:rPr>
        <w:t>新能源汽车产业企业租金补贴。</w:t>
      </w:r>
    </w:p>
    <w:p>
      <w:pPr>
        <w:pStyle w:val="64"/>
        <w:spacing w:line="560" w:lineRule="exact"/>
        <w:ind w:firstLine="640" w:firstLineChars="200"/>
        <w:rPr>
          <w:rFonts w:hint="eastAsia" w:ascii="仿宋" w:hAnsi="仿宋" w:eastAsia="仿宋"/>
          <w:kern w:val="0"/>
        </w:rPr>
      </w:pPr>
      <w:r>
        <w:rPr>
          <w:rFonts w:hint="eastAsia" w:ascii="仿宋" w:hAnsi="仿宋" w:eastAsia="仿宋"/>
          <w:color w:val="000000"/>
          <w:kern w:val="0"/>
        </w:rPr>
        <w:t>（一）</w:t>
      </w:r>
      <w:r>
        <w:rPr>
          <w:rFonts w:hint="eastAsia" w:ascii="仿宋" w:hAnsi="仿宋" w:eastAsia="仿宋"/>
        </w:rPr>
        <w:t>2017年1月1日后进驻，并在本办法有效期内</w:t>
      </w:r>
      <w:r>
        <w:rPr>
          <w:rFonts w:hint="eastAsia" w:ascii="仿宋" w:hAnsi="仿宋" w:eastAsia="仿宋"/>
          <w:color w:val="000000"/>
          <w:kern w:val="0"/>
        </w:rPr>
        <w:t>租用厂房或自建厂房的，按其实际租用或</w:t>
      </w:r>
      <w:r>
        <w:rPr>
          <w:rFonts w:hint="eastAsia" w:ascii="仿宋" w:hAnsi="仿宋" w:eastAsia="仿宋"/>
          <w:kern w:val="0"/>
        </w:rPr>
        <w:t>自建厂房面积（用于非生产性的面积不能超过总面积的30%）前三年分别按每平方米15元</w:t>
      </w:r>
      <w:r>
        <w:rPr>
          <w:rFonts w:ascii="仿宋" w:hAnsi="仿宋" w:eastAsia="仿宋"/>
          <w:kern w:val="0"/>
        </w:rPr>
        <w:t>/</w:t>
      </w:r>
      <w:r>
        <w:rPr>
          <w:rFonts w:hint="eastAsia" w:ascii="仿宋" w:hAnsi="仿宋" w:eastAsia="仿宋"/>
          <w:kern w:val="0"/>
        </w:rPr>
        <w:t>月、10元</w:t>
      </w:r>
      <w:r>
        <w:rPr>
          <w:rFonts w:ascii="仿宋" w:hAnsi="仿宋" w:eastAsia="仿宋"/>
          <w:kern w:val="0"/>
        </w:rPr>
        <w:t>/</w:t>
      </w:r>
      <w:r>
        <w:rPr>
          <w:rFonts w:hint="eastAsia" w:ascii="仿宋" w:hAnsi="仿宋" w:eastAsia="仿宋"/>
          <w:kern w:val="0"/>
        </w:rPr>
        <w:t>月、8元</w:t>
      </w:r>
      <w:r>
        <w:rPr>
          <w:rFonts w:ascii="仿宋" w:hAnsi="仿宋" w:eastAsia="仿宋"/>
          <w:kern w:val="0"/>
        </w:rPr>
        <w:t>/</w:t>
      </w:r>
      <w:r>
        <w:rPr>
          <w:rFonts w:hint="eastAsia" w:ascii="仿宋" w:hAnsi="仿宋" w:eastAsia="仿宋"/>
          <w:kern w:val="0"/>
        </w:rPr>
        <w:t>月的标准（每家企业补贴上限不超过3</w:t>
      </w:r>
      <w:r>
        <w:rPr>
          <w:rFonts w:ascii="仿宋" w:hAnsi="仿宋" w:eastAsia="仿宋"/>
          <w:kern w:val="0"/>
        </w:rPr>
        <w:t>000</w:t>
      </w:r>
      <w:r>
        <w:rPr>
          <w:rFonts w:hint="eastAsia" w:ascii="仿宋" w:hAnsi="仿宋" w:eastAsia="仿宋"/>
          <w:kern w:val="0"/>
        </w:rPr>
        <w:t>平方米）给予企业租金补贴</w:t>
      </w:r>
      <w:r>
        <w:rPr>
          <w:rFonts w:hint="eastAsia" w:ascii="仿宋" w:hAnsi="仿宋" w:eastAsia="仿宋" w:cs="仿宋"/>
        </w:rPr>
        <w:t>（若企业实际租金低于该标准的，按企业实际租金给予补贴）</w:t>
      </w:r>
      <w:r>
        <w:rPr>
          <w:rFonts w:hint="eastAsia" w:ascii="仿宋" w:hAnsi="仿宋" w:eastAsia="仿宋"/>
          <w:kern w:val="0"/>
        </w:rPr>
        <w:t>。</w:t>
      </w:r>
    </w:p>
    <w:p>
      <w:pPr>
        <w:pStyle w:val="64"/>
        <w:widowControl/>
        <w:autoSpaceDN w:val="0"/>
        <w:spacing w:line="560" w:lineRule="exact"/>
        <w:ind w:firstLine="630"/>
        <w:rPr>
          <w:rFonts w:hint="eastAsia" w:ascii="仿宋" w:hAnsi="仿宋" w:eastAsia="仿宋"/>
        </w:rPr>
      </w:pPr>
      <w:r>
        <w:rPr>
          <w:rFonts w:hint="eastAsia" w:ascii="仿宋" w:hAnsi="仿宋" w:eastAsia="仿宋"/>
          <w:kern w:val="0"/>
        </w:rPr>
        <w:t>（二）</w:t>
      </w:r>
      <w:r>
        <w:rPr>
          <w:rFonts w:hint="eastAsia" w:ascii="仿宋" w:hAnsi="仿宋" w:eastAsia="仿宋"/>
        </w:rPr>
        <w:t>2017年1月1日后进驻，并在本办法有效期内</w:t>
      </w:r>
      <w:r>
        <w:rPr>
          <w:rFonts w:hint="eastAsia" w:ascii="仿宋" w:hAnsi="仿宋" w:eastAsia="仿宋"/>
          <w:kern w:val="0"/>
        </w:rPr>
        <w:t>租用商业用房（含都市型产业载体）的，按其实际租用面积</w:t>
      </w:r>
      <w:r>
        <w:rPr>
          <w:rFonts w:hint="eastAsia" w:ascii="仿宋" w:hAnsi="仿宋" w:eastAsia="仿宋"/>
        </w:rPr>
        <w:t>前3年分别按每平方米20元</w:t>
      </w:r>
      <w:r>
        <w:rPr>
          <w:rFonts w:ascii="仿宋" w:hAnsi="仿宋" w:eastAsia="仿宋"/>
        </w:rPr>
        <w:t>/</w:t>
      </w:r>
      <w:r>
        <w:rPr>
          <w:rFonts w:hint="eastAsia" w:ascii="仿宋" w:hAnsi="仿宋" w:eastAsia="仿宋"/>
        </w:rPr>
        <w:t>月、15元</w:t>
      </w:r>
      <w:r>
        <w:rPr>
          <w:rFonts w:ascii="仿宋" w:hAnsi="仿宋" w:eastAsia="仿宋"/>
        </w:rPr>
        <w:t>/</w:t>
      </w:r>
      <w:r>
        <w:rPr>
          <w:rFonts w:hint="eastAsia" w:ascii="仿宋" w:hAnsi="仿宋" w:eastAsia="仿宋"/>
        </w:rPr>
        <w:t>月、10元</w:t>
      </w:r>
      <w:r>
        <w:rPr>
          <w:rFonts w:ascii="仿宋" w:hAnsi="仿宋" w:eastAsia="仿宋"/>
        </w:rPr>
        <w:t>/</w:t>
      </w:r>
      <w:r>
        <w:rPr>
          <w:rFonts w:hint="eastAsia" w:ascii="仿宋" w:hAnsi="仿宋" w:eastAsia="仿宋"/>
        </w:rPr>
        <w:t>月的标准（每家企业补贴上限不超过10</w:t>
      </w:r>
      <w:r>
        <w:rPr>
          <w:rFonts w:ascii="仿宋" w:hAnsi="仿宋" w:eastAsia="仿宋"/>
        </w:rPr>
        <w:t>00</w:t>
      </w:r>
      <w:r>
        <w:rPr>
          <w:rFonts w:hint="eastAsia" w:ascii="仿宋" w:hAnsi="仿宋" w:eastAsia="仿宋"/>
        </w:rPr>
        <w:t>平方米）给予企业租金补贴</w:t>
      </w:r>
      <w:r>
        <w:rPr>
          <w:rFonts w:hint="eastAsia" w:ascii="仿宋" w:hAnsi="仿宋" w:eastAsia="仿宋" w:cs="仿宋"/>
        </w:rPr>
        <w:t>（若企业实际租金低于该标准的，按企业实际租金给予补贴）</w:t>
      </w:r>
      <w:r>
        <w:rPr>
          <w:rFonts w:hint="eastAsia" w:ascii="仿宋" w:hAnsi="仿宋" w:eastAsia="仿宋"/>
        </w:rPr>
        <w:t>。</w:t>
      </w:r>
    </w:p>
    <w:p>
      <w:pPr>
        <w:pStyle w:val="64"/>
        <w:widowControl/>
        <w:autoSpaceDN w:val="0"/>
        <w:spacing w:line="560" w:lineRule="exact"/>
        <w:ind w:firstLine="630"/>
        <w:rPr>
          <w:rFonts w:hint="eastAsia" w:ascii="仿宋" w:hAnsi="仿宋" w:eastAsia="黑体"/>
          <w:kern w:val="0"/>
        </w:rPr>
      </w:pPr>
      <w:r>
        <w:rPr>
          <w:rFonts w:hint="eastAsia" w:ascii="仿宋" w:hAnsi="仿宋" w:eastAsia="仿宋"/>
        </w:rPr>
        <w:t>（三）2017年1月1日前进驻的，2017年1月1日至2020年12月31日期间新增的租用厂房或自建厂房、租用商业用房，经认定后，参照本条措施给予扶持。</w:t>
      </w:r>
    </w:p>
    <w:p>
      <w:pPr>
        <w:pStyle w:val="64"/>
        <w:widowControl/>
        <w:autoSpaceDN w:val="0"/>
        <w:spacing w:line="560" w:lineRule="exact"/>
        <w:ind w:firstLine="630"/>
        <w:rPr>
          <w:rFonts w:hint="eastAsia" w:ascii="仿宋" w:hAnsi="仿宋" w:eastAsia="仿宋"/>
          <w:color w:val="000000"/>
          <w:kern w:val="0"/>
        </w:rPr>
      </w:pPr>
      <w:r>
        <w:rPr>
          <w:rFonts w:hint="eastAsia" w:ascii="仿宋" w:hAnsi="仿宋" w:eastAsia="黑体"/>
          <w:kern w:val="0"/>
        </w:rPr>
        <w:t>第七条</w:t>
      </w:r>
      <w:r>
        <w:rPr>
          <w:rFonts w:hint="eastAsia" w:ascii="仿宋" w:hAnsi="仿宋" w:eastAsia="仿宋"/>
          <w:kern w:val="0"/>
        </w:rPr>
        <w:t xml:space="preserve">  鼓</w:t>
      </w:r>
      <w:r>
        <w:rPr>
          <w:rFonts w:hint="eastAsia" w:ascii="仿宋" w:hAnsi="仿宋" w:eastAsia="仿宋"/>
          <w:color w:val="000000"/>
          <w:kern w:val="0"/>
        </w:rPr>
        <w:t>励新能源汽车产业总部企业落户或进驻南海区。</w:t>
      </w:r>
    </w:p>
    <w:p>
      <w:pPr>
        <w:pStyle w:val="64"/>
        <w:widowControl/>
        <w:autoSpaceDN w:val="0"/>
        <w:spacing w:line="560" w:lineRule="exact"/>
        <w:ind w:firstLine="630"/>
        <w:rPr>
          <w:rFonts w:hint="eastAsia" w:ascii="仿宋" w:hAnsi="仿宋" w:eastAsia="仿宋"/>
          <w:kern w:val="0"/>
        </w:rPr>
      </w:pPr>
      <w:r>
        <w:rPr>
          <w:rFonts w:hint="eastAsia" w:ascii="仿宋" w:hAnsi="仿宋" w:eastAsia="仿宋"/>
          <w:color w:val="000000"/>
          <w:kern w:val="0"/>
        </w:rPr>
        <w:t>（一）区内外新能源汽车产业企业在南海区设立总部企业或区外新能源汽车产业企业将总部企业的注册地迁入南海区并办理相关工商登记手续，承诺在区内从事新能</w:t>
      </w:r>
      <w:r>
        <w:rPr>
          <w:rFonts w:hint="eastAsia" w:ascii="仿宋" w:hAnsi="仿宋" w:eastAsia="仿宋"/>
          <w:kern w:val="0"/>
        </w:rPr>
        <w:t>源汽车产业生产、研发经营活动和纳税</w:t>
      </w:r>
      <w:r>
        <w:rPr>
          <w:rFonts w:hint="eastAsia" w:ascii="仿宋" w:hAnsi="仿宋" w:eastAsia="仿宋"/>
          <w:kern w:val="0"/>
          <w:lang w:val="en-US" w:eastAsia="zh-CN"/>
        </w:rPr>
        <w:t>3</w:t>
      </w:r>
      <w:r>
        <w:rPr>
          <w:rFonts w:hint="eastAsia" w:ascii="仿宋" w:hAnsi="仿宋" w:eastAsia="仿宋"/>
          <w:kern w:val="0"/>
        </w:rPr>
        <w:t>年及以上，并形成实际投资的，按迁入后的第一个年度营业额达到</w:t>
      </w:r>
      <w:r>
        <w:rPr>
          <w:rFonts w:ascii="仿宋" w:hAnsi="仿宋" w:eastAsia="仿宋"/>
          <w:kern w:val="0"/>
        </w:rPr>
        <w:t>100</w:t>
      </w:r>
      <w:r>
        <w:rPr>
          <w:rFonts w:hint="eastAsia" w:ascii="仿宋" w:hAnsi="仿宋" w:eastAsia="仿宋"/>
          <w:kern w:val="0"/>
        </w:rPr>
        <w:t>0万元、</w:t>
      </w:r>
      <w:r>
        <w:rPr>
          <w:rFonts w:ascii="仿宋" w:hAnsi="仿宋" w:eastAsia="仿宋"/>
          <w:kern w:val="0"/>
        </w:rPr>
        <w:t>300</w:t>
      </w:r>
      <w:r>
        <w:rPr>
          <w:rFonts w:hint="eastAsia" w:ascii="仿宋" w:hAnsi="仿宋" w:eastAsia="仿宋"/>
          <w:kern w:val="0"/>
        </w:rPr>
        <w:t>0万元、</w:t>
      </w:r>
      <w:r>
        <w:rPr>
          <w:rFonts w:ascii="仿宋" w:hAnsi="仿宋" w:eastAsia="仿宋"/>
          <w:kern w:val="0"/>
        </w:rPr>
        <w:t>1000</w:t>
      </w:r>
      <w:r>
        <w:rPr>
          <w:rFonts w:hint="eastAsia" w:ascii="仿宋" w:hAnsi="仿宋" w:eastAsia="仿宋"/>
          <w:kern w:val="0"/>
        </w:rPr>
        <w:t>0万元及以上的条件，分别给予一次性奖励</w:t>
      </w:r>
      <w:r>
        <w:rPr>
          <w:rFonts w:ascii="仿宋" w:hAnsi="仿宋" w:eastAsia="仿宋"/>
          <w:kern w:val="0"/>
        </w:rPr>
        <w:t>50</w:t>
      </w:r>
      <w:r>
        <w:rPr>
          <w:rFonts w:hint="eastAsia" w:ascii="仿宋" w:hAnsi="仿宋" w:eastAsia="仿宋"/>
          <w:kern w:val="0"/>
        </w:rPr>
        <w:t>万元、</w:t>
      </w:r>
      <w:r>
        <w:rPr>
          <w:rFonts w:ascii="仿宋" w:hAnsi="仿宋" w:eastAsia="仿宋"/>
          <w:kern w:val="0"/>
        </w:rPr>
        <w:t>150</w:t>
      </w:r>
      <w:r>
        <w:rPr>
          <w:rFonts w:hint="eastAsia" w:ascii="仿宋" w:hAnsi="仿宋" w:eastAsia="仿宋"/>
          <w:kern w:val="0"/>
        </w:rPr>
        <w:t>万元、</w:t>
      </w:r>
      <w:r>
        <w:rPr>
          <w:rFonts w:ascii="仿宋" w:hAnsi="仿宋" w:eastAsia="仿宋"/>
          <w:kern w:val="0"/>
        </w:rPr>
        <w:t>300</w:t>
      </w:r>
      <w:r>
        <w:rPr>
          <w:rFonts w:hint="eastAsia" w:ascii="仿宋" w:hAnsi="仿宋" w:eastAsia="仿宋"/>
          <w:kern w:val="0"/>
        </w:rPr>
        <w:t>万元。</w:t>
      </w:r>
    </w:p>
    <w:p>
      <w:pPr>
        <w:pStyle w:val="64"/>
        <w:widowControl/>
        <w:autoSpaceDN w:val="0"/>
        <w:spacing w:line="560" w:lineRule="exact"/>
        <w:ind w:firstLine="630"/>
        <w:rPr>
          <w:rFonts w:hint="eastAsia" w:ascii="仿宋" w:hAnsi="仿宋" w:eastAsia="仿宋"/>
          <w:kern w:val="0"/>
        </w:rPr>
      </w:pPr>
      <w:r>
        <w:rPr>
          <w:rFonts w:hint="eastAsia" w:ascii="仿宋" w:hAnsi="仿宋" w:eastAsia="仿宋"/>
          <w:kern w:val="0"/>
        </w:rPr>
        <w:t>（二）</w:t>
      </w:r>
      <w:r>
        <w:rPr>
          <w:rFonts w:hint="eastAsia" w:ascii="仿宋" w:hAnsi="仿宋" w:eastAsia="仿宋"/>
          <w:color w:val="000000"/>
          <w:kern w:val="0"/>
        </w:rPr>
        <w:t>区内上市新能源汽车产业企业在南海区设立总部企业或区外</w:t>
      </w:r>
      <w:r>
        <w:rPr>
          <w:rFonts w:hint="eastAsia" w:ascii="仿宋" w:hAnsi="仿宋" w:eastAsia="仿宋"/>
          <w:kern w:val="0"/>
        </w:rPr>
        <w:t>上市新能源汽车产业企</w:t>
      </w:r>
      <w:r>
        <w:rPr>
          <w:rFonts w:hint="eastAsia" w:ascii="仿宋" w:hAnsi="仿宋" w:eastAsia="仿宋"/>
          <w:color w:val="000000"/>
          <w:kern w:val="0"/>
        </w:rPr>
        <w:t>业将总部企业的注册地迁入南海区并办理相关工商登记手续，承诺在区内从事新能</w:t>
      </w:r>
      <w:r>
        <w:rPr>
          <w:rFonts w:hint="eastAsia" w:ascii="仿宋" w:hAnsi="仿宋" w:eastAsia="仿宋"/>
          <w:kern w:val="0"/>
        </w:rPr>
        <w:t>源汽车产业生产、研发经营活动和纳税，并形成实际投资的，给予一次性奖励</w:t>
      </w:r>
      <w:r>
        <w:rPr>
          <w:rFonts w:ascii="仿宋" w:hAnsi="仿宋" w:eastAsia="仿宋"/>
          <w:kern w:val="0"/>
        </w:rPr>
        <w:t>1000</w:t>
      </w:r>
      <w:r>
        <w:rPr>
          <w:rFonts w:hint="eastAsia" w:ascii="仿宋" w:hAnsi="仿宋" w:eastAsia="仿宋"/>
          <w:kern w:val="0"/>
        </w:rPr>
        <w:t>万元。</w:t>
      </w:r>
    </w:p>
    <w:p>
      <w:pPr>
        <w:pStyle w:val="64"/>
        <w:widowControl/>
        <w:spacing w:line="560" w:lineRule="exact"/>
        <w:ind w:firstLine="640"/>
        <w:rPr>
          <w:rFonts w:hint="eastAsia" w:ascii="仿宋" w:hAnsi="仿宋" w:eastAsia="仿宋"/>
          <w:color w:val="7030A0"/>
          <w:kern w:val="0"/>
        </w:rPr>
      </w:pPr>
      <w:r>
        <w:rPr>
          <w:rFonts w:hint="eastAsia" w:ascii="仿宋" w:hAnsi="仿宋" w:eastAsia="黑体"/>
        </w:rPr>
        <w:t>第八条</w:t>
      </w:r>
      <w:r>
        <w:rPr>
          <w:rFonts w:hint="eastAsia" w:ascii="仿宋" w:hAnsi="仿宋" w:eastAsia="仿宋"/>
        </w:rPr>
        <w:t xml:space="preserve">  </w:t>
      </w:r>
      <w:r>
        <w:rPr>
          <w:rFonts w:ascii="仿宋" w:hAnsi="仿宋" w:eastAsia="仿宋"/>
          <w:kern w:val="0"/>
        </w:rPr>
        <w:t>鼓励</w:t>
      </w:r>
      <w:r>
        <w:rPr>
          <w:rFonts w:hint="eastAsia" w:ascii="仿宋" w:hAnsi="仿宋" w:eastAsia="仿宋"/>
          <w:kern w:val="0"/>
        </w:rPr>
        <w:t>新能源汽车产业企</w:t>
      </w:r>
      <w:r>
        <w:rPr>
          <w:rFonts w:ascii="仿宋" w:hAnsi="仿宋" w:eastAsia="仿宋"/>
          <w:kern w:val="0"/>
        </w:rPr>
        <w:t>业申报</w:t>
      </w:r>
      <w:r>
        <w:rPr>
          <w:rFonts w:hint="eastAsia" w:ascii="仿宋" w:hAnsi="仿宋" w:eastAsia="仿宋"/>
          <w:kern w:val="0"/>
        </w:rPr>
        <w:t>与本办法第二条规定相关的</w:t>
      </w:r>
      <w:r>
        <w:rPr>
          <w:rFonts w:ascii="仿宋" w:hAnsi="仿宋" w:eastAsia="仿宋"/>
          <w:kern w:val="0"/>
        </w:rPr>
        <w:t>各类</w:t>
      </w:r>
      <w:r>
        <w:rPr>
          <w:rFonts w:hint="eastAsia" w:ascii="仿宋" w:hAnsi="仿宋" w:eastAsia="仿宋"/>
          <w:kern w:val="0"/>
        </w:rPr>
        <w:t>产业</w:t>
      </w:r>
      <w:r>
        <w:rPr>
          <w:rFonts w:ascii="仿宋" w:hAnsi="仿宋" w:eastAsia="仿宋"/>
          <w:kern w:val="0"/>
        </w:rPr>
        <w:t>科技创新项目、产学研共性技术、</w:t>
      </w:r>
      <w:r>
        <w:rPr>
          <w:rFonts w:hint="eastAsia" w:ascii="仿宋" w:hAnsi="仿宋" w:eastAsia="仿宋"/>
          <w:kern w:val="0"/>
        </w:rPr>
        <w:t>产业化项目</w:t>
      </w:r>
      <w:r>
        <w:rPr>
          <w:rFonts w:ascii="仿宋" w:hAnsi="仿宋" w:eastAsia="仿宋"/>
          <w:kern w:val="0"/>
        </w:rPr>
        <w:t>等专项，对获得省级及以上</w:t>
      </w:r>
      <w:r>
        <w:rPr>
          <w:rFonts w:hint="eastAsia" w:ascii="仿宋" w:hAnsi="仿宋" w:eastAsia="仿宋"/>
          <w:kern w:val="0"/>
        </w:rPr>
        <w:t>财政补贴</w:t>
      </w:r>
      <w:r>
        <w:rPr>
          <w:rFonts w:ascii="仿宋" w:hAnsi="仿宋" w:eastAsia="仿宋"/>
          <w:kern w:val="0"/>
        </w:rPr>
        <w:t>支持的项目，</w:t>
      </w:r>
      <w:r>
        <w:rPr>
          <w:rFonts w:hint="eastAsia" w:ascii="仿宋" w:hAnsi="仿宋" w:eastAsia="仿宋"/>
          <w:kern w:val="0"/>
        </w:rPr>
        <w:t>按国家或省的支持金额给予1∶1的配套补贴（上级有明确要求区级财政配套比例的，以从高不从低的原则进行配套）</w:t>
      </w:r>
      <w:r>
        <w:rPr>
          <w:rFonts w:hint="eastAsia" w:ascii="仿宋" w:hAnsi="仿宋" w:eastAsia="仿宋"/>
          <w:color w:val="000000"/>
          <w:kern w:val="0"/>
        </w:rPr>
        <w:t>。单个项目区级补贴最高不超过1000万元，各级财政补贴总额不超过申报项目投资额的70%。如按标准计算各级财政补贴总额超过申报项目投资额的70%，则按申报项目投资额的70%扣除国家、省的补贴金额后计算区级财政补贴金额。</w:t>
      </w:r>
    </w:p>
    <w:p>
      <w:pPr>
        <w:pStyle w:val="64"/>
        <w:widowControl/>
        <w:spacing w:line="560" w:lineRule="exact"/>
        <w:rPr>
          <w:rFonts w:hint="eastAsia" w:ascii="仿宋" w:hAnsi="仿宋" w:eastAsia="仿宋"/>
        </w:rPr>
      </w:pPr>
      <w:r>
        <w:rPr>
          <w:rFonts w:hint="eastAsia" w:ascii="仿宋" w:hAnsi="仿宋" w:eastAsia="黑体" w:cs="仿宋"/>
          <w:lang w:val="en-US" w:eastAsia="zh-CN"/>
        </w:rPr>
        <w:t xml:space="preserve">    </w:t>
      </w:r>
      <w:r>
        <w:rPr>
          <w:rFonts w:hint="eastAsia" w:ascii="仿宋" w:hAnsi="仿宋" w:eastAsia="黑体" w:cs="仿宋"/>
        </w:rPr>
        <w:t>第九条</w:t>
      </w:r>
      <w:r>
        <w:rPr>
          <w:rFonts w:hint="eastAsia" w:ascii="仿宋" w:hAnsi="仿宋" w:eastAsia="黑体" w:cs="仿宋"/>
          <w:lang w:val="en-US" w:eastAsia="zh-CN"/>
        </w:rPr>
        <w:t xml:space="preserve"> </w:t>
      </w:r>
      <w:r>
        <w:rPr>
          <w:rFonts w:hint="eastAsia" w:ascii="仿宋" w:hAnsi="仿宋" w:eastAsia="仿宋" w:cs="仿宋"/>
        </w:rPr>
        <w:t xml:space="preserve"> 对新能源汽车产业孵化器、产业载体建设、优质企业上市、企业自主创新和品牌推进、企业人才引进、招商引资奖励等等与新能源汽车产业发展相关的扶持政策，按照我区相关的</w:t>
      </w:r>
      <w:r>
        <w:rPr>
          <w:rFonts w:hint="eastAsia" w:ascii="仿宋" w:hAnsi="仿宋" w:eastAsia="仿宋"/>
          <w:kern w:val="0"/>
        </w:rPr>
        <w:t>政策执行。</w:t>
      </w:r>
    </w:p>
    <w:p>
      <w:pPr>
        <w:pStyle w:val="64"/>
        <w:spacing w:line="560" w:lineRule="exact"/>
        <w:ind w:left="630"/>
        <w:rPr>
          <w:rFonts w:hint="eastAsia" w:ascii="仿宋" w:hAnsi="仿宋" w:eastAsia="仿宋"/>
          <w:kern w:val="0"/>
        </w:rPr>
      </w:pPr>
    </w:p>
    <w:p>
      <w:pPr>
        <w:pStyle w:val="64"/>
        <w:jc w:val="center"/>
        <w:rPr>
          <w:rFonts w:hint="eastAsia" w:ascii="方正小标宋简体" w:hAnsi="方正小标宋简体" w:eastAsia="方正小标宋简体" w:cs="仿宋"/>
          <w:b w:val="0"/>
          <w:bCs/>
        </w:rPr>
      </w:pPr>
      <w:r>
        <w:rPr>
          <w:rFonts w:hint="eastAsia" w:ascii="方正小标宋简体" w:hAnsi="方正小标宋简体" w:eastAsia="方正小标宋简体" w:cs="仿宋"/>
          <w:b w:val="0"/>
          <w:bCs/>
        </w:rPr>
        <w:t>第三章  项目的申报及审批</w:t>
      </w:r>
    </w:p>
    <w:p>
      <w:pPr>
        <w:pStyle w:val="64"/>
        <w:spacing w:line="560" w:lineRule="exact"/>
        <w:ind w:firstLine="640" w:firstLineChars="200"/>
        <w:rPr>
          <w:rFonts w:hint="eastAsia" w:ascii="仿宋" w:hAnsi="仿宋" w:eastAsia="仿宋"/>
        </w:rPr>
      </w:pPr>
      <w:r>
        <w:rPr>
          <w:rFonts w:hint="eastAsia" w:ascii="仿宋" w:hAnsi="仿宋" w:eastAsia="黑体"/>
        </w:rPr>
        <w:t>第十条</w:t>
      </w:r>
      <w:r>
        <w:rPr>
          <w:rFonts w:hint="eastAsia" w:ascii="仿宋" w:hAnsi="仿宋" w:eastAsia="仿宋"/>
        </w:rPr>
        <w:t xml:space="preserve">  本办法第四条、第五条、第六条、第七条扶持政策的审核流程：</w:t>
      </w:r>
    </w:p>
    <w:p>
      <w:pPr>
        <w:pStyle w:val="64"/>
        <w:spacing w:line="560" w:lineRule="exact"/>
        <w:ind w:firstLine="640" w:firstLineChars="200"/>
        <w:rPr>
          <w:rFonts w:hint="eastAsia" w:ascii="仿宋" w:hAnsi="仿宋" w:eastAsia="仿宋"/>
        </w:rPr>
      </w:pPr>
      <w:r>
        <w:rPr>
          <w:rFonts w:hint="eastAsia" w:ascii="仿宋" w:hAnsi="仿宋" w:eastAsia="仿宋"/>
        </w:rPr>
        <w:t>（一）资格初审。由镇（街道）经济促进局和</w:t>
      </w:r>
      <w:r>
        <w:rPr>
          <w:rFonts w:hint="eastAsia" w:ascii="仿宋" w:hAnsi="仿宋" w:eastAsia="仿宋"/>
          <w:kern w:val="0"/>
        </w:rPr>
        <w:t>区发展规划和统计局（发改）</w:t>
      </w:r>
      <w:r>
        <w:rPr>
          <w:rFonts w:hint="eastAsia" w:ascii="仿宋" w:hAnsi="仿宋" w:eastAsia="仿宋"/>
        </w:rPr>
        <w:t>依照本办法对企业的扶持资格进行初审。</w:t>
      </w:r>
    </w:p>
    <w:p>
      <w:pPr>
        <w:pStyle w:val="64"/>
        <w:spacing w:line="560" w:lineRule="exact"/>
        <w:ind w:firstLine="640" w:firstLineChars="200"/>
        <w:rPr>
          <w:rFonts w:hint="eastAsia" w:ascii="仿宋" w:hAnsi="仿宋" w:eastAsia="仿宋"/>
        </w:rPr>
      </w:pPr>
      <w:r>
        <w:rPr>
          <w:rFonts w:hint="eastAsia" w:ascii="仿宋" w:hAnsi="仿宋" w:eastAsia="仿宋"/>
        </w:rPr>
        <w:t>（二）项目申报。符合扶持资格的企业在项目竣工验收并投产、公司注册的第一个会计年度结束或上级部门专项资金下达文件后，按要求组织申报材料。</w:t>
      </w:r>
    </w:p>
    <w:p>
      <w:pPr>
        <w:pStyle w:val="64"/>
        <w:spacing w:line="560" w:lineRule="exact"/>
        <w:ind w:firstLine="640" w:firstLineChars="200"/>
        <w:rPr>
          <w:rFonts w:hint="eastAsia" w:ascii="仿宋" w:hAnsi="仿宋" w:eastAsia="仿宋"/>
        </w:rPr>
      </w:pPr>
      <w:r>
        <w:rPr>
          <w:rFonts w:hint="eastAsia" w:ascii="仿宋" w:hAnsi="仿宋" w:eastAsia="仿宋"/>
        </w:rPr>
        <w:t>（三）专家评审。镇（街道）经济促进局审核企业申报材料后报</w:t>
      </w:r>
      <w:r>
        <w:rPr>
          <w:rFonts w:hint="eastAsia" w:ascii="仿宋" w:hAnsi="仿宋" w:eastAsia="仿宋"/>
          <w:kern w:val="0"/>
        </w:rPr>
        <w:t>区发展规划和统计局（发改）</w:t>
      </w:r>
      <w:r>
        <w:rPr>
          <w:rFonts w:hint="eastAsia" w:ascii="仿宋" w:hAnsi="仿宋" w:eastAsia="仿宋"/>
        </w:rPr>
        <w:t>，由</w:t>
      </w:r>
      <w:r>
        <w:rPr>
          <w:rFonts w:hint="eastAsia" w:ascii="仿宋" w:hAnsi="仿宋" w:eastAsia="仿宋"/>
          <w:kern w:val="0"/>
        </w:rPr>
        <w:t>区发展规划和统计局（发改）组织专家评审，提出评审意见</w:t>
      </w:r>
      <w:r>
        <w:rPr>
          <w:rFonts w:hint="eastAsia" w:ascii="仿宋" w:hAnsi="仿宋" w:eastAsia="仿宋"/>
        </w:rPr>
        <w:t>。</w:t>
      </w:r>
    </w:p>
    <w:p>
      <w:pPr>
        <w:pStyle w:val="64"/>
        <w:spacing w:line="560" w:lineRule="exact"/>
        <w:ind w:firstLine="640" w:firstLineChars="200"/>
        <w:rPr>
          <w:rFonts w:hint="eastAsia" w:ascii="仿宋" w:hAnsi="仿宋" w:eastAsia="仿宋"/>
        </w:rPr>
      </w:pPr>
      <w:r>
        <w:rPr>
          <w:rFonts w:hint="eastAsia" w:ascii="仿宋" w:hAnsi="仿宋" w:eastAsia="仿宋"/>
          <w:kern w:val="0"/>
        </w:rPr>
        <w:t>（四）公示。</w:t>
      </w:r>
      <w:r>
        <w:rPr>
          <w:rFonts w:hint="eastAsia" w:ascii="仿宋" w:hAnsi="仿宋" w:eastAsia="仿宋"/>
        </w:rPr>
        <w:t>由</w:t>
      </w:r>
      <w:r>
        <w:rPr>
          <w:rFonts w:hint="eastAsia" w:ascii="仿宋" w:hAnsi="仿宋" w:eastAsia="仿宋"/>
          <w:kern w:val="0"/>
        </w:rPr>
        <w:t>区发展规划和统计局（发改）对通过专家评审的项目在其网站上公示。公示期间接到相关举报和质疑的，由区发展规划和统计局（发改）负责调查、核实并处理。公示无异议的，</w:t>
      </w:r>
      <w:r>
        <w:rPr>
          <w:rFonts w:hint="eastAsia" w:ascii="仿宋" w:hAnsi="仿宋" w:eastAsia="仿宋"/>
        </w:rPr>
        <w:t>由</w:t>
      </w:r>
      <w:r>
        <w:rPr>
          <w:rFonts w:hint="eastAsia" w:ascii="仿宋" w:hAnsi="仿宋" w:eastAsia="仿宋"/>
          <w:kern w:val="0"/>
        </w:rPr>
        <w:t>区发展规划和统计局（发改）</w:t>
      </w:r>
      <w:r>
        <w:rPr>
          <w:rFonts w:hint="eastAsia" w:ascii="仿宋" w:hAnsi="仿宋" w:eastAsia="仿宋"/>
        </w:rPr>
        <w:t>报区政府审批。</w:t>
      </w:r>
    </w:p>
    <w:p>
      <w:pPr>
        <w:pStyle w:val="64"/>
        <w:spacing w:line="560" w:lineRule="exact"/>
        <w:ind w:firstLine="640" w:firstLineChars="200"/>
        <w:rPr>
          <w:rFonts w:hint="eastAsia" w:ascii="仿宋" w:hAnsi="仿宋" w:eastAsia="仿宋"/>
        </w:rPr>
      </w:pPr>
      <w:r>
        <w:rPr>
          <w:rFonts w:hint="eastAsia" w:ascii="仿宋" w:hAnsi="仿宋" w:eastAsia="仿宋"/>
          <w:kern w:val="0"/>
        </w:rPr>
        <w:t>（五）申请拨款。区政府审批同意后，由区发展规划和统计局（发改）向区财政局申请拨款。</w:t>
      </w:r>
    </w:p>
    <w:p>
      <w:pPr>
        <w:pStyle w:val="64"/>
        <w:spacing w:line="560" w:lineRule="exact"/>
        <w:ind w:firstLine="640" w:firstLineChars="200"/>
        <w:rPr>
          <w:rFonts w:hint="eastAsia" w:ascii="仿宋" w:hAnsi="仿宋" w:eastAsia="仿宋"/>
        </w:rPr>
      </w:pPr>
      <w:r>
        <w:rPr>
          <w:rFonts w:hint="eastAsia" w:ascii="仿宋" w:hAnsi="仿宋" w:eastAsia="黑体"/>
        </w:rPr>
        <w:t>第十一条</w:t>
      </w:r>
      <w:r>
        <w:rPr>
          <w:rFonts w:hint="eastAsia" w:ascii="仿宋" w:hAnsi="仿宋" w:eastAsia="仿宋"/>
        </w:rPr>
        <w:t xml:space="preserve">  申请本办法第九条扶持政策的，按区相关扶持办法申请。</w:t>
      </w:r>
    </w:p>
    <w:p>
      <w:pPr>
        <w:pStyle w:val="64"/>
        <w:spacing w:line="560" w:lineRule="exact"/>
        <w:ind w:firstLine="640" w:firstLineChars="200"/>
        <w:rPr>
          <w:rFonts w:hint="eastAsia" w:ascii="仿宋" w:hAnsi="仿宋" w:eastAsia="仿宋"/>
        </w:rPr>
      </w:pPr>
    </w:p>
    <w:p>
      <w:pPr>
        <w:pStyle w:val="64"/>
        <w:jc w:val="center"/>
        <w:rPr>
          <w:rFonts w:hint="eastAsia" w:ascii="方正小标宋简体" w:hAnsi="方正小标宋简体" w:eastAsia="方正小标宋简体" w:cs="仿宋"/>
          <w:b w:val="0"/>
          <w:bCs/>
        </w:rPr>
      </w:pPr>
      <w:r>
        <w:rPr>
          <w:rFonts w:hint="eastAsia" w:ascii="方正小标宋简体" w:hAnsi="方正小标宋简体" w:eastAsia="方正小标宋简体" w:cs="仿宋"/>
          <w:b w:val="0"/>
          <w:bCs/>
        </w:rPr>
        <w:t>第四章  资金拨付及使用</w:t>
      </w:r>
    </w:p>
    <w:p>
      <w:pPr>
        <w:pStyle w:val="64"/>
        <w:shd w:val="clear" w:color="auto" w:fill="FFFFFF"/>
        <w:spacing w:line="560" w:lineRule="exact"/>
        <w:ind w:firstLine="640" w:firstLineChars="200"/>
        <w:rPr>
          <w:rFonts w:hint="eastAsia" w:ascii="仿宋" w:hAnsi="仿宋" w:eastAsia="仿宋"/>
          <w:kern w:val="0"/>
          <w:shd w:val="clear" w:color="auto" w:fill="FFFFFF"/>
        </w:rPr>
      </w:pPr>
      <w:r>
        <w:rPr>
          <w:rFonts w:hint="eastAsia" w:ascii="仿宋" w:hAnsi="仿宋" w:eastAsia="黑体"/>
        </w:rPr>
        <w:t>第十二条</w:t>
      </w:r>
      <w:r>
        <w:rPr>
          <w:rFonts w:hint="eastAsia" w:ascii="仿宋" w:hAnsi="仿宋" w:eastAsia="仿宋"/>
        </w:rPr>
        <w:t xml:space="preserve"> </w:t>
      </w:r>
      <w:r>
        <w:rPr>
          <w:rFonts w:hint="eastAsia" w:ascii="仿宋" w:hAnsi="仿宋" w:eastAsia="仿宋"/>
          <w:shd w:val="clear" w:color="auto" w:fill="FFFFFF"/>
        </w:rPr>
        <w:t xml:space="preserve"> </w:t>
      </w:r>
      <w:r>
        <w:rPr>
          <w:rFonts w:hint="eastAsia" w:ascii="仿宋" w:hAnsi="仿宋" w:eastAsia="仿宋"/>
          <w:kern w:val="0"/>
          <w:shd w:val="clear" w:color="auto" w:fill="FFFFFF"/>
        </w:rPr>
        <w:t>区财政局根据区发展规划和统计局（发改）的拨款申请后向企业所在镇（街道）划拨资金。</w:t>
      </w:r>
    </w:p>
    <w:p>
      <w:pPr>
        <w:pStyle w:val="64"/>
        <w:shd w:val="clear" w:color="auto" w:fill="FFFFFF"/>
        <w:spacing w:line="560" w:lineRule="exact"/>
        <w:ind w:firstLine="640" w:firstLineChars="200"/>
        <w:rPr>
          <w:rFonts w:hint="eastAsia" w:ascii="仿宋" w:hAnsi="仿宋" w:eastAsia="仿宋"/>
          <w:shd w:val="clear" w:color="auto" w:fill="FFFFFF"/>
        </w:rPr>
      </w:pPr>
      <w:r>
        <w:rPr>
          <w:rFonts w:hint="eastAsia" w:ascii="仿宋" w:hAnsi="仿宋" w:eastAsia="黑体"/>
        </w:rPr>
        <w:t>第十三条</w:t>
      </w:r>
      <w:r>
        <w:rPr>
          <w:rFonts w:hint="eastAsia" w:ascii="仿宋" w:hAnsi="仿宋" w:eastAsia="仿宋"/>
        </w:rPr>
        <w:t xml:space="preserve">  </w:t>
      </w:r>
      <w:r>
        <w:rPr>
          <w:rFonts w:hint="eastAsia" w:ascii="仿宋" w:hAnsi="仿宋" w:eastAsia="仿宋"/>
          <w:kern w:val="0"/>
          <w:shd w:val="clear" w:color="auto" w:fill="FFFFFF"/>
        </w:rPr>
        <w:t>企业所在镇（街道）按要求将区级扶持资金和镇（街道）配套的扶持资金统一划拨到</w:t>
      </w:r>
      <w:r>
        <w:rPr>
          <w:rFonts w:hint="eastAsia" w:ascii="仿宋" w:hAnsi="仿宋" w:eastAsia="仿宋"/>
          <w:shd w:val="clear" w:color="auto" w:fill="FFFFFF"/>
        </w:rPr>
        <w:t>用款企业。</w:t>
      </w:r>
    </w:p>
    <w:p>
      <w:pPr>
        <w:pStyle w:val="64"/>
        <w:spacing w:line="560" w:lineRule="exact"/>
        <w:ind w:firstLine="640" w:firstLineChars="200"/>
        <w:rPr>
          <w:rFonts w:hint="eastAsia" w:ascii="仿宋" w:hAnsi="仿宋" w:eastAsia="仿宋"/>
        </w:rPr>
      </w:pPr>
      <w:r>
        <w:rPr>
          <w:rFonts w:hint="eastAsia" w:ascii="仿宋" w:hAnsi="仿宋" w:eastAsia="黑体"/>
        </w:rPr>
        <w:t>第十四条</w:t>
      </w:r>
      <w:r>
        <w:rPr>
          <w:rFonts w:hint="eastAsia" w:ascii="仿宋" w:hAnsi="仿宋" w:eastAsia="仿宋"/>
        </w:rPr>
        <w:t xml:space="preserve">  用款企业应当建立健全内部监督约束机制，严格按照扶持资金的内容和范围使用，实行专账管理、专款专用，严禁改变资金用途。</w:t>
      </w:r>
    </w:p>
    <w:p>
      <w:pPr>
        <w:pStyle w:val="64"/>
        <w:spacing w:line="560" w:lineRule="exact"/>
        <w:ind w:firstLine="640" w:firstLineChars="200"/>
        <w:rPr>
          <w:rFonts w:hint="eastAsia" w:ascii="仿宋" w:hAnsi="仿宋" w:eastAsia="仿宋"/>
        </w:rPr>
      </w:pPr>
      <w:r>
        <w:rPr>
          <w:rFonts w:hint="eastAsia" w:ascii="仿宋" w:hAnsi="仿宋" w:eastAsia="黑体"/>
        </w:rPr>
        <w:t>第十五条</w:t>
      </w:r>
      <w:r>
        <w:rPr>
          <w:rFonts w:hint="eastAsia" w:ascii="仿宋" w:hAnsi="仿宋" w:eastAsia="仿宋"/>
        </w:rPr>
        <w:t xml:space="preserve">  因特殊原因需要变更、中止或撤销的项目，由用款企业向所在镇（街道）经济促进局提出申请，报</w:t>
      </w:r>
      <w:r>
        <w:rPr>
          <w:rFonts w:hint="eastAsia" w:ascii="仿宋" w:hAnsi="仿宋" w:eastAsia="仿宋"/>
          <w:kern w:val="0"/>
        </w:rPr>
        <w:t>区发展规划和统计局（发改）审核。对于中止或撤销的项目，由区发展规划和统计局（发改）将剩余资金按原出资渠道分别上缴区、镇（街道）财政</w:t>
      </w:r>
      <w:r>
        <w:rPr>
          <w:rFonts w:hint="eastAsia" w:ascii="仿宋" w:hAnsi="仿宋" w:eastAsia="仿宋"/>
        </w:rPr>
        <w:t>。</w:t>
      </w:r>
    </w:p>
    <w:p>
      <w:pPr>
        <w:pStyle w:val="64"/>
        <w:spacing w:line="560" w:lineRule="exact"/>
        <w:ind w:firstLine="640" w:firstLineChars="200"/>
        <w:rPr>
          <w:rFonts w:hint="eastAsia" w:ascii="仿宋" w:hAnsi="仿宋" w:eastAsia="仿宋"/>
        </w:rPr>
      </w:pPr>
    </w:p>
    <w:p>
      <w:pPr>
        <w:pStyle w:val="64"/>
        <w:jc w:val="center"/>
        <w:rPr>
          <w:rFonts w:hint="eastAsia" w:ascii="方正小标宋简体" w:hAnsi="方正小标宋简体" w:eastAsia="方正小标宋简体" w:cs="仿宋"/>
          <w:b w:val="0"/>
          <w:bCs/>
        </w:rPr>
      </w:pPr>
      <w:r>
        <w:rPr>
          <w:rFonts w:hint="eastAsia" w:ascii="方正小标宋简体" w:hAnsi="方正小标宋简体" w:eastAsia="方正小标宋简体" w:cs="仿宋"/>
          <w:b w:val="0"/>
          <w:bCs/>
        </w:rPr>
        <w:t>第五章  资金管理及绩效评估</w:t>
      </w:r>
    </w:p>
    <w:p>
      <w:pPr>
        <w:pStyle w:val="64"/>
        <w:spacing w:line="560" w:lineRule="exact"/>
        <w:ind w:firstLine="640" w:firstLineChars="200"/>
        <w:rPr>
          <w:rFonts w:hint="eastAsia" w:ascii="仿宋" w:hAnsi="仿宋" w:eastAsia="仿宋"/>
        </w:rPr>
      </w:pPr>
      <w:r>
        <w:rPr>
          <w:rFonts w:hint="eastAsia" w:ascii="仿宋" w:hAnsi="仿宋" w:eastAsia="黑体"/>
        </w:rPr>
        <w:t>第十六条</w:t>
      </w:r>
      <w:r>
        <w:rPr>
          <w:rFonts w:hint="eastAsia" w:ascii="仿宋" w:hAnsi="仿宋" w:eastAsia="仿宋"/>
        </w:rPr>
        <w:t xml:space="preserve">  </w:t>
      </w:r>
      <w:r>
        <w:rPr>
          <w:rFonts w:hint="eastAsia" w:ascii="仿宋" w:hAnsi="仿宋" w:eastAsia="仿宋"/>
          <w:kern w:val="0"/>
        </w:rPr>
        <w:t>区发展规划和统计局（发改）、财政局、监察局、审计局、各</w:t>
      </w:r>
      <w:r>
        <w:rPr>
          <w:rFonts w:hint="eastAsia" w:ascii="仿宋" w:hAnsi="仿宋" w:eastAsia="仿宋"/>
        </w:rPr>
        <w:t xml:space="preserve">镇（街道）经济促进局等部门要按管理权限分层次、有重点对扶持资金的申请、使用和验收进行监管，并建立项目绩效评价和风险控制联动机制。 </w:t>
      </w:r>
    </w:p>
    <w:p>
      <w:pPr>
        <w:pStyle w:val="64"/>
        <w:spacing w:line="560" w:lineRule="exact"/>
        <w:ind w:firstLine="640" w:firstLineChars="200"/>
        <w:rPr>
          <w:rFonts w:hint="eastAsia" w:ascii="仿宋" w:hAnsi="仿宋" w:eastAsia="仿宋"/>
        </w:rPr>
      </w:pPr>
      <w:r>
        <w:rPr>
          <w:rFonts w:hint="eastAsia" w:ascii="仿宋" w:hAnsi="仿宋" w:eastAsia="黑体"/>
        </w:rPr>
        <w:t>第十七条</w:t>
      </w:r>
      <w:r>
        <w:rPr>
          <w:rFonts w:hint="eastAsia" w:ascii="仿宋" w:hAnsi="仿宋" w:eastAsia="仿宋"/>
        </w:rPr>
        <w:t xml:space="preserve">  </w:t>
      </w:r>
      <w:r>
        <w:rPr>
          <w:rFonts w:hint="eastAsia" w:ascii="仿宋" w:hAnsi="仿宋" w:eastAsia="仿宋"/>
          <w:kern w:val="0"/>
        </w:rPr>
        <w:t>区发展规划和统计局（发改）和</w:t>
      </w:r>
      <w:r>
        <w:rPr>
          <w:rFonts w:hint="eastAsia" w:ascii="仿宋" w:hAnsi="仿宋" w:eastAsia="仿宋"/>
        </w:rPr>
        <w:t>镇（街道）经济促进局对用款企业使用扶持资金情况进行监督管理，及时发现和纠正存在问题。</w:t>
      </w:r>
    </w:p>
    <w:p>
      <w:pPr>
        <w:pStyle w:val="64"/>
        <w:spacing w:line="560" w:lineRule="exact"/>
        <w:ind w:firstLine="640" w:firstLineChars="200"/>
        <w:rPr>
          <w:rFonts w:hint="eastAsia" w:ascii="仿宋" w:hAnsi="仿宋" w:eastAsia="仿宋"/>
        </w:rPr>
      </w:pPr>
      <w:r>
        <w:rPr>
          <w:rFonts w:hint="eastAsia" w:ascii="仿宋" w:hAnsi="仿宋" w:eastAsia="黑体"/>
        </w:rPr>
        <w:t>第十八条</w:t>
      </w:r>
      <w:r>
        <w:rPr>
          <w:rFonts w:hint="eastAsia" w:ascii="仿宋" w:hAnsi="仿宋" w:eastAsia="仿宋"/>
        </w:rPr>
        <w:t xml:space="preserve">  </w:t>
      </w:r>
      <w:r>
        <w:rPr>
          <w:rFonts w:hint="eastAsia" w:ascii="仿宋" w:hAnsi="仿宋" w:eastAsia="仿宋"/>
          <w:kern w:val="0"/>
        </w:rPr>
        <w:t>区发展规划和统计局（发改）</w:t>
      </w:r>
      <w:r>
        <w:rPr>
          <w:rFonts w:hint="eastAsia" w:ascii="仿宋" w:hAnsi="仿宋" w:eastAsia="仿宋"/>
        </w:rPr>
        <w:t>在扶持资金划拨到用款企业第二年的1月份，组织用款企业进行绩效评估。</w:t>
      </w:r>
    </w:p>
    <w:p>
      <w:pPr>
        <w:pStyle w:val="64"/>
        <w:spacing w:line="560" w:lineRule="exact"/>
        <w:ind w:firstLine="640" w:firstLineChars="200"/>
        <w:rPr>
          <w:rFonts w:hint="eastAsia" w:ascii="仿宋" w:hAnsi="仿宋" w:eastAsia="仿宋"/>
          <w:kern w:val="0"/>
        </w:rPr>
      </w:pPr>
      <w:r>
        <w:rPr>
          <w:rFonts w:hint="eastAsia" w:ascii="仿宋" w:hAnsi="仿宋" w:eastAsia="黑体"/>
        </w:rPr>
        <w:t>第十九条</w:t>
      </w:r>
      <w:r>
        <w:rPr>
          <w:rFonts w:hint="eastAsia" w:ascii="仿宋" w:hAnsi="仿宋" w:eastAsia="仿宋"/>
        </w:rPr>
        <w:t xml:space="preserve">  用款企业如有弄虚作假、骗取扶持资金或不按规定用途使用、截留转移、挥霍浪费扶持资金、未履行承诺等行为的，由</w:t>
      </w:r>
      <w:r>
        <w:rPr>
          <w:rFonts w:hint="eastAsia" w:ascii="仿宋" w:hAnsi="仿宋" w:eastAsia="仿宋"/>
          <w:kern w:val="0"/>
        </w:rPr>
        <w:t>区发展规划和统计局（发改）和</w:t>
      </w:r>
      <w:r>
        <w:rPr>
          <w:rFonts w:hint="eastAsia" w:ascii="仿宋" w:hAnsi="仿宋" w:eastAsia="仿宋"/>
        </w:rPr>
        <w:t>镇（街道）经济促进局</w:t>
      </w:r>
      <w:r>
        <w:rPr>
          <w:rFonts w:hint="eastAsia" w:ascii="仿宋" w:hAnsi="仿宋" w:eastAsia="仿宋"/>
          <w:kern w:val="0"/>
        </w:rPr>
        <w:t>追回资金，依法追究其责任，</w:t>
      </w:r>
      <w:r>
        <w:rPr>
          <w:rFonts w:hint="eastAsia" w:ascii="仿宋" w:hAnsi="仿宋" w:eastAsia="仿宋"/>
          <w:kern w:val="0"/>
          <w:lang w:val="en-US" w:eastAsia="zh-CN"/>
        </w:rPr>
        <w:t>3</w:t>
      </w:r>
      <w:r>
        <w:rPr>
          <w:rFonts w:hint="eastAsia" w:ascii="仿宋" w:hAnsi="仿宋" w:eastAsia="仿宋"/>
          <w:kern w:val="0"/>
        </w:rPr>
        <w:t>年内停止其申报扶持资金资格。</w:t>
      </w:r>
    </w:p>
    <w:p>
      <w:pPr>
        <w:pStyle w:val="64"/>
        <w:spacing w:line="560" w:lineRule="exact"/>
        <w:ind w:firstLine="640" w:firstLineChars="200"/>
        <w:rPr>
          <w:rFonts w:hint="eastAsia" w:ascii="仿宋" w:hAnsi="仿宋" w:eastAsia="仿宋"/>
          <w:b/>
        </w:rPr>
      </w:pPr>
      <w:r>
        <w:rPr>
          <w:rFonts w:hint="eastAsia" w:ascii="仿宋" w:hAnsi="仿宋" w:eastAsia="黑体"/>
          <w:kern w:val="0"/>
        </w:rPr>
        <w:t>第二十条</w:t>
      </w:r>
      <w:r>
        <w:rPr>
          <w:rFonts w:hint="eastAsia" w:ascii="仿宋" w:hAnsi="仿宋" w:eastAsia="仿宋"/>
          <w:kern w:val="0"/>
        </w:rPr>
        <w:t xml:space="preserve">  对企业在申请、使用扶持资金中所有违法违规行为，依照相关法律法规处理，构成犯罪的移交司法部门依法追究刑事责任。</w:t>
      </w:r>
    </w:p>
    <w:p>
      <w:pPr>
        <w:pStyle w:val="64"/>
        <w:spacing w:line="560" w:lineRule="exact"/>
        <w:rPr>
          <w:rFonts w:hint="eastAsia" w:ascii="仿宋" w:hAnsi="仿宋" w:eastAsia="宋体"/>
          <w:b/>
        </w:rPr>
      </w:pPr>
    </w:p>
    <w:p>
      <w:pPr>
        <w:pStyle w:val="64"/>
        <w:jc w:val="center"/>
        <w:rPr>
          <w:rFonts w:hint="eastAsia" w:ascii="方正小标宋简体" w:hAnsi="方正小标宋简体" w:eastAsia="方正小标宋简体" w:cs="仿宋"/>
          <w:b w:val="0"/>
          <w:bCs/>
        </w:rPr>
      </w:pPr>
      <w:r>
        <w:rPr>
          <w:rFonts w:hint="eastAsia" w:ascii="方正小标宋简体" w:hAnsi="方正小标宋简体" w:eastAsia="方正小标宋简体" w:cs="仿宋"/>
          <w:b w:val="0"/>
          <w:bCs/>
        </w:rPr>
        <w:t>第六章  附则</w:t>
      </w:r>
    </w:p>
    <w:p>
      <w:pPr>
        <w:pStyle w:val="64"/>
        <w:spacing w:line="560" w:lineRule="exact"/>
        <w:ind w:firstLine="630"/>
        <w:rPr>
          <w:rFonts w:hint="eastAsia" w:ascii="仿宋" w:hAnsi="仿宋" w:eastAsia="仿宋"/>
        </w:rPr>
      </w:pPr>
      <w:r>
        <w:rPr>
          <w:rFonts w:hint="eastAsia" w:ascii="仿宋" w:hAnsi="仿宋" w:eastAsia="黑体"/>
        </w:rPr>
        <w:t>第二十一条</w:t>
      </w:r>
      <w:r>
        <w:rPr>
          <w:rFonts w:hint="eastAsia" w:ascii="仿宋" w:hAnsi="仿宋" w:eastAsia="仿宋"/>
        </w:rPr>
        <w:t xml:space="preserve">  新设企业若符合南海区其他扶持政策的同类扶持条件，按照“不重复”的原则，只享受一次扶持资金的扶持政策，不重复扶持。</w:t>
      </w:r>
    </w:p>
    <w:p>
      <w:pPr>
        <w:pStyle w:val="64"/>
        <w:spacing w:line="560" w:lineRule="exact"/>
        <w:ind w:firstLine="630"/>
        <w:rPr>
          <w:rFonts w:hint="eastAsia" w:ascii="仿宋" w:hAnsi="仿宋" w:eastAsia="仿宋" w:cs="仿宋"/>
          <w:kern w:val="0"/>
        </w:rPr>
      </w:pPr>
      <w:r>
        <w:rPr>
          <w:rFonts w:hint="eastAsia" w:ascii="仿宋" w:hAnsi="仿宋" w:eastAsia="黑体"/>
        </w:rPr>
        <w:t>第二十二条</w:t>
      </w:r>
      <w:r>
        <w:rPr>
          <w:rFonts w:hint="eastAsia" w:ascii="仿宋" w:hAnsi="仿宋" w:eastAsia="仿宋"/>
        </w:rPr>
        <w:t xml:space="preserve">  本办法奖励资金由区、镇（街道）各负担</w:t>
      </w:r>
      <w:r>
        <w:rPr>
          <w:rFonts w:ascii="仿宋" w:hAnsi="仿宋" w:eastAsia="仿宋"/>
        </w:rPr>
        <w:t>50%</w:t>
      </w:r>
      <w:r>
        <w:rPr>
          <w:rFonts w:hint="eastAsia" w:ascii="仿宋" w:hAnsi="仿宋" w:eastAsia="仿宋"/>
        </w:rPr>
        <w:t>，其中涉及区级部分均在新能源汽车产业发展扶持资金中支出。</w:t>
      </w:r>
    </w:p>
    <w:p>
      <w:pPr>
        <w:pStyle w:val="64"/>
        <w:spacing w:line="560" w:lineRule="exact"/>
        <w:ind w:firstLine="640" w:firstLineChars="200"/>
        <w:rPr>
          <w:rFonts w:ascii="仿宋" w:hAnsi="仿宋" w:eastAsia="仿宋"/>
          <w:color w:val="000000"/>
        </w:rPr>
      </w:pPr>
      <w:r>
        <w:rPr>
          <w:rFonts w:hint="eastAsia" w:ascii="仿宋" w:hAnsi="仿宋" w:eastAsia="黑体"/>
        </w:rPr>
        <w:t>第二十三条</w:t>
      </w:r>
      <w:r>
        <w:rPr>
          <w:rFonts w:hint="eastAsia" w:ascii="仿宋" w:hAnsi="仿宋" w:eastAsia="仿宋"/>
        </w:rPr>
        <w:t xml:space="preserve">  各镇（街道）</w:t>
      </w:r>
      <w:r>
        <w:rPr>
          <w:rFonts w:hint="eastAsia" w:ascii="仿宋" w:hAnsi="仿宋" w:eastAsia="仿宋" w:cs="仿宋"/>
        </w:rPr>
        <w:t>可参照本办法制定相应扶持办法</w:t>
      </w:r>
      <w:r>
        <w:rPr>
          <w:rFonts w:hint="eastAsia" w:ascii="仿宋" w:hAnsi="仿宋" w:eastAsia="仿宋"/>
        </w:rPr>
        <w:t>。</w:t>
      </w:r>
      <w:r>
        <w:rPr>
          <w:rFonts w:hint="eastAsia" w:ascii="仿宋" w:hAnsi="仿宋" w:eastAsia="仿宋" w:cs="仿宋"/>
          <w:color w:val="000000"/>
        </w:rPr>
        <w:t>丹灶镇以外的各镇（街道）规划建设新能源汽车产业基地，并经区政府同意，可参照第五条的标准给予租金补贴。</w:t>
      </w:r>
    </w:p>
    <w:p>
      <w:pPr>
        <w:pStyle w:val="64"/>
        <w:spacing w:line="560" w:lineRule="exact"/>
        <w:ind w:firstLine="640" w:firstLineChars="200"/>
        <w:rPr>
          <w:rFonts w:ascii="仿宋" w:hAnsi="仿宋" w:eastAsia="仿宋"/>
        </w:rPr>
      </w:pPr>
      <w:r>
        <w:rPr>
          <w:rFonts w:hint="eastAsia" w:ascii="仿宋" w:hAnsi="仿宋" w:eastAsia="黑体"/>
        </w:rPr>
        <w:t>第二十四条</w:t>
      </w:r>
      <w:r>
        <w:rPr>
          <w:rFonts w:hint="eastAsia" w:ascii="仿宋" w:hAnsi="仿宋" w:eastAsia="仿宋"/>
        </w:rPr>
        <w:t xml:space="preserve">  本办法由区发展规划和统计局（发改）负责组织实施和解释。</w:t>
      </w:r>
    </w:p>
    <w:p>
      <w:pPr>
        <w:pStyle w:val="64"/>
        <w:widowControl/>
        <w:autoSpaceDN w:val="0"/>
        <w:spacing w:line="560" w:lineRule="exact"/>
        <w:ind w:firstLine="630"/>
        <w:rPr>
          <w:rFonts w:hint="eastAsia" w:ascii="仿宋" w:hAnsi="仿宋" w:eastAsia="仿宋"/>
        </w:rPr>
      </w:pPr>
      <w:r>
        <w:rPr>
          <w:rFonts w:hint="eastAsia" w:ascii="仿宋" w:hAnsi="仿宋" w:eastAsia="黑体"/>
        </w:rPr>
        <w:t>第二十五条</w:t>
      </w:r>
      <w:r>
        <w:rPr>
          <w:rFonts w:hint="eastAsia" w:ascii="仿宋" w:hAnsi="仿宋" w:eastAsia="仿宋"/>
        </w:rPr>
        <w:t xml:space="preserve">  本办法自发布之日起施行，有效期至2020</w:t>
      </w:r>
      <w:r>
        <w:rPr>
          <w:rFonts w:ascii="仿宋" w:hAnsi="仿宋" w:eastAsia="仿宋"/>
        </w:rPr>
        <w:t>年</w:t>
      </w:r>
      <w:r>
        <w:rPr>
          <w:rFonts w:hint="eastAsia" w:ascii="仿宋" w:hAnsi="仿宋" w:eastAsia="仿宋"/>
        </w:rPr>
        <w:t>12月31日。本办法到期后，第五条和第六条中涉及连续奖励/补贴条款延续至奖励/补贴完毕。</w:t>
      </w:r>
    </w:p>
    <w:p>
      <w:pPr>
        <w:pStyle w:val="64"/>
        <w:widowControl/>
        <w:autoSpaceDN w:val="0"/>
        <w:spacing w:line="560" w:lineRule="exact"/>
        <w:ind w:firstLine="630"/>
        <w:rPr>
          <w:rFonts w:ascii="仿宋" w:hAnsi="仿宋" w:eastAsia="仿宋"/>
        </w:rPr>
      </w:pPr>
    </w:p>
    <w:p>
      <w:pPr>
        <w:pStyle w:val="64"/>
        <w:widowControl/>
        <w:autoSpaceDN w:val="0"/>
        <w:spacing w:line="560" w:lineRule="exact"/>
        <w:ind w:firstLine="630"/>
        <w:rPr>
          <w:rFonts w:hint="eastAsia" w:ascii="仿宋" w:hAnsi="仿宋" w:eastAsia="仿宋"/>
        </w:rPr>
      </w:pPr>
    </w:p>
    <w:p>
      <w:pPr>
        <w:pStyle w:val="64"/>
        <w:ind w:right="624"/>
      </w:pPr>
    </w:p>
    <w:sectPr>
      <w:headerReference r:id="rId3" w:type="default"/>
      <w:footerReference r:id="rId4" w:type="default"/>
      <w:pgSz w:w="11906" w:h="16838"/>
      <w:pgMar w:top="1440" w:right="1286"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ja4dlIABOAGUAdwAgAE4AZQB3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1"/>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1"/>
    <w:family w:val="swiss"/>
    <w:pitch w:val="default"/>
    <w:sig w:usb0="E1002EFF" w:usb1="C000605B" w:usb2="00000029" w:usb3="00000000" w:csb0="200101FF" w:csb1="20280000"/>
  </w:font>
  <w:font w:name="Verdana">
    <w:panose1 w:val="020B0604030504040204"/>
    <w:charset w:val="01"/>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framePr w:wrap="around" w:vAnchor="text" w:hAnchor="margin" w:xAlign="outside" w:yAlign="top"/>
      <w:pBdr>
        <w:between w:val="none" w:color="auto" w:sz="50" w:space="0"/>
      </w:pBdr>
      <w:ind w:left="210" w:leftChars="100" w:right="210" w:rightChars="100"/>
      <w:rPr>
        <w:rFonts w:hint="eastAsia" w:ascii="仿宋" w:hAnsi="仿宋" w:eastAsia="仿宋"/>
        <w:sz w:val="28"/>
      </w:rPr>
    </w:pPr>
    <w:r>
      <w:rPr>
        <w:rStyle w:val="4"/>
        <w:rFonts w:hint="eastAsia" w:ascii="仿宋" w:hAnsi="仿宋" w:eastAsia="仿宋"/>
        <w:sz w:val="28"/>
      </w:rPr>
      <w:t xml:space="preserve">— </w:t>
    </w:r>
    <w:r>
      <w:rPr>
        <w:rFonts w:hint="eastAsia" w:ascii="仿宋" w:hAnsi="仿宋" w:eastAsia="仿宋"/>
        <w:sz w:val="28"/>
      </w:rPr>
      <w:fldChar w:fldCharType="begin"/>
    </w:r>
    <w:r>
      <w:rPr>
        <w:rStyle w:val="4"/>
        <w:rFonts w:hint="eastAsia" w:ascii="仿宋" w:hAnsi="仿宋" w:eastAsia="仿宋"/>
        <w:sz w:val="28"/>
      </w:rPr>
      <w:instrText xml:space="preserve"> PAGE  </w:instrText>
    </w:r>
    <w:r>
      <w:rPr>
        <w:rFonts w:hint="eastAsia" w:ascii="仿宋" w:hAnsi="仿宋" w:eastAsia="仿宋"/>
        <w:sz w:val="28"/>
      </w:rPr>
      <w:fldChar w:fldCharType="separate"/>
    </w:r>
    <w:r>
      <w:rPr>
        <w:rStyle w:val="4"/>
        <w:rFonts w:hint="eastAsia" w:ascii="仿宋" w:hAnsi="仿宋" w:eastAsia="仿宋"/>
        <w:sz w:val="28"/>
      </w:rPr>
      <w:t>1</w:t>
    </w:r>
    <w:r>
      <w:rPr>
        <w:rFonts w:hint="eastAsia" w:ascii="仿宋" w:hAnsi="仿宋" w:eastAsia="仿宋"/>
        <w:sz w:val="28"/>
      </w:rPr>
      <w:fldChar w:fldCharType="end"/>
    </w:r>
    <w:r>
      <w:rPr>
        <w:rFonts w:hint="eastAsia" w:ascii="仿宋" w:hAnsi="仿宋" w:eastAsia="仿宋"/>
        <w:sz w:val="28"/>
      </w:rPr>
      <w:t xml:space="preserve"> </w:t>
    </w:r>
    <w:r>
      <w:rPr>
        <w:rStyle w:val="4"/>
        <w:rFonts w:hint="eastAsia" w:ascii="仿宋" w:hAnsi="仿宋" w:eastAsia="仿宋"/>
        <w:sz w:val="28"/>
      </w:rPr>
      <w:t>—</w:t>
    </w:r>
  </w:p>
  <w:p>
    <w:pPr>
      <w:pStyle w:val="8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C4C5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styleId="4">
    <w:name w:val="page number"/>
    <w:basedOn w:val="3"/>
    <w:uiPriority w:val="0"/>
    <w:rPr>
      <w:rFonts w:ascii="Times New Roman" w:hAnsi="Times New Roman" w:eastAsia="宋体"/>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
    <w:name w:val="正文 New New New New New New New New New New New New New New New New New New New"/>
    <w:uiPriority w:val="0"/>
    <w:pPr>
      <w:widowControl w:val="0"/>
      <w:jc w:val="both"/>
    </w:pPr>
    <w:rPr>
      <w:rFonts w:ascii="Times New Roman" w:hAnsi="Times New Roman" w:eastAsia="宋体"/>
      <w:kern w:val="2"/>
      <w:sz w:val="32"/>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9">
    <w:name w:val="正文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10">
    <w:name w:val="正文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12">
    <w:name w:val="页脚 New New New New"/>
    <w:basedOn w:val="13"/>
    <w:uiPriority w:val="0"/>
    <w:pPr>
      <w:tabs>
        <w:tab w:val="center" w:pos="4153"/>
        <w:tab w:val="right" w:pos="8306"/>
      </w:tabs>
      <w:snapToGrid w:val="0"/>
      <w:jc w:val="left"/>
    </w:pPr>
    <w:rPr>
      <w:sz w:val="18"/>
    </w:rPr>
  </w:style>
  <w:style w:type="paragraph" w:customStyle="1" w:styleId="13">
    <w:name w:val="正文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14">
    <w:name w:val="正文文本缩进 New"/>
    <w:basedOn w:val="15"/>
    <w:uiPriority w:val="0"/>
    <w:pPr>
      <w:spacing w:after="120" w:afterLines="0"/>
      <w:ind w:left="420" w:leftChars="200"/>
    </w:pPr>
  </w:style>
  <w:style w:type="paragraph" w:customStyle="1" w:styleId="15">
    <w:name w:val="正文 New"/>
    <w:uiPriority w:val="0"/>
    <w:pPr>
      <w:widowControl w:val="0"/>
      <w:jc w:val="both"/>
    </w:pPr>
    <w:rPr>
      <w:rFonts w:ascii="Times New Roman" w:hAnsi="Times New Roman" w:eastAsia="仿宋"/>
      <w:kern w:val="2"/>
      <w:sz w:val="32"/>
      <w:szCs w:val="32"/>
      <w:lang w:val="en-US" w:eastAsia="zh-CN" w:bidi="ar-SA"/>
    </w:rPr>
  </w:style>
  <w:style w:type="paragraph" w:customStyle="1" w:styleId="16">
    <w:name w:val="页脚 New New New New New New New"/>
    <w:basedOn w:val="17"/>
    <w:uiPriority w:val="0"/>
    <w:pPr>
      <w:tabs>
        <w:tab w:val="center" w:pos="4153"/>
        <w:tab w:val="right" w:pos="8306"/>
      </w:tabs>
      <w:snapToGrid w:val="0"/>
      <w:jc w:val="left"/>
    </w:pPr>
    <w:rPr>
      <w:sz w:val="18"/>
      <w:szCs w:val="18"/>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8">
    <w:name w:val="正文 New New"/>
    <w:uiPriority w:val="0"/>
    <w:pPr>
      <w:widowControl w:val="0"/>
      <w:jc w:val="both"/>
    </w:pPr>
    <w:rPr>
      <w:rFonts w:ascii="Times New Roman" w:hAnsi="Times New Roman" w:eastAsia="宋体"/>
      <w:kern w:val="2"/>
      <w:sz w:val="21"/>
      <w:szCs w:val="24"/>
      <w:lang w:val="en-US" w:eastAsia="zh-CN" w:bidi="ar-SA"/>
    </w:rPr>
  </w:style>
  <w:style w:type="paragraph" w:customStyle="1" w:styleId="19">
    <w:name w:val="正文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20">
    <w:name w:val="正文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21">
    <w:name w:val="正文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22">
    <w:name w:val="正文 New New New"/>
    <w:uiPriority w:val="0"/>
    <w:pPr>
      <w:widowControl w:val="0"/>
      <w:jc w:val="both"/>
    </w:pPr>
    <w:rPr>
      <w:rFonts w:ascii="Times New Roman" w:hAnsi="Times New Roman" w:eastAsia="宋体"/>
      <w:kern w:val="2"/>
      <w:sz w:val="21"/>
      <w:szCs w:val="24"/>
      <w:lang w:val="en-US" w:eastAsia="zh-CN" w:bidi="ar-SA"/>
    </w:rPr>
  </w:style>
  <w:style w:type="paragraph" w:customStyle="1" w:styleId="23">
    <w:name w:val="正文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4">
    <w:name w:val="Char"/>
    <w:basedOn w:val="8"/>
    <w:uiPriority w:val="0"/>
    <w:pPr>
      <w:tabs>
        <w:tab w:val="left" w:pos="425"/>
      </w:tabs>
      <w:ind w:left="425" w:hanging="425"/>
    </w:p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New New"/>
    <w:uiPriority w:val="0"/>
    <w:pPr>
      <w:widowControl w:val="0"/>
      <w:jc w:val="both"/>
    </w:pPr>
    <w:rPr>
      <w:rFonts w:ascii="Times New Roman" w:hAnsi="Times New Roman" w:eastAsia="宋体"/>
      <w:kern w:val="2"/>
      <w:sz w:val="21"/>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27">
    <w:name w:val="正文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8">
    <w:name w:val="页脚 New New"/>
    <w:basedOn w:val="29"/>
    <w:uiPriority w:val="0"/>
    <w:pPr>
      <w:tabs>
        <w:tab w:val="center" w:pos="4153"/>
        <w:tab w:val="right" w:pos="8306"/>
      </w:tabs>
      <w:snapToGrid w:val="0"/>
      <w:jc w:val="left"/>
    </w:pPr>
    <w:rPr>
      <w:sz w:val="18"/>
      <w:szCs w:val="18"/>
    </w:rPr>
  </w:style>
  <w:style w:type="paragraph" w:customStyle="1" w:styleId="29">
    <w:name w:val="正文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0">
    <w:name w:val="页脚 New New New New New New New New"/>
    <w:basedOn w:val="10"/>
    <w:uiPriority w:val="0"/>
    <w:pPr>
      <w:tabs>
        <w:tab w:val="center" w:pos="4153"/>
        <w:tab w:val="right" w:pos="8306"/>
      </w:tabs>
      <w:snapToGrid w:val="0"/>
      <w:jc w:val="left"/>
    </w:pPr>
    <w:rPr>
      <w:sz w:val="18"/>
      <w:szCs w:val="20"/>
    </w:rPr>
  </w:style>
  <w:style w:type="paragraph" w:customStyle="1" w:styleId="31">
    <w:name w:val="页脚 New New New New New New New New New"/>
    <w:basedOn w:val="32"/>
    <w:uiPriority w:val="0"/>
    <w:pPr>
      <w:tabs>
        <w:tab w:val="center" w:pos="4153"/>
        <w:tab w:val="right" w:pos="8306"/>
      </w:tabs>
      <w:snapToGrid w:val="0"/>
      <w:jc w:val="left"/>
    </w:pPr>
    <w:rPr>
      <w:sz w:val="18"/>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 w:hAnsi="仿宋" w:eastAsia="仿宋"/>
      <w:color w:val="000000"/>
      <w:kern w:val="2"/>
      <w:sz w:val="32"/>
      <w:lang w:val="en-US" w:eastAsia="zh-CN"/>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4">
    <w:name w:val="Char1"/>
    <w:basedOn w:val="13"/>
    <w:uiPriority w:val="0"/>
    <w:pPr>
      <w:widowControl/>
      <w:spacing w:after="160" w:afterLines="0" w:line="240" w:lineRule="exact"/>
      <w:jc w:val="left"/>
    </w:pPr>
  </w:style>
  <w:style w:type="paragraph" w:customStyle="1" w:styleId="35">
    <w:name w:val="正文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36">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38">
    <w:name w:val="正文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40">
    <w:name w:val="正文 New New New New New New New"/>
    <w:uiPriority w:val="0"/>
    <w:pPr>
      <w:widowControl w:val="0"/>
      <w:jc w:val="both"/>
    </w:pPr>
    <w:rPr>
      <w:rFonts w:ascii="Times New Roman" w:hAnsi="Times New Roman" w:eastAsia="宋体"/>
      <w:kern w:val="2"/>
      <w:sz w:val="21"/>
      <w:lang w:val="en-US" w:eastAsia="zh-C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43">
    <w:name w:val="页脚 New New New New New"/>
    <w:basedOn w:val="36"/>
    <w:uiPriority w:val="0"/>
    <w:pPr>
      <w:tabs>
        <w:tab w:val="center" w:pos="4153"/>
        <w:tab w:val="right" w:pos="8306"/>
      </w:tabs>
      <w:snapToGrid w:val="0"/>
      <w:jc w:val="left"/>
    </w:pPr>
    <w:rPr>
      <w:sz w:val="18"/>
    </w:rPr>
  </w:style>
  <w:style w:type="paragraph" w:customStyle="1" w:styleId="44">
    <w:name w:val="正文文本缩进 2 New"/>
    <w:basedOn w:val="45"/>
    <w:uiPriority w:val="0"/>
    <w:pPr>
      <w:spacing w:after="50" w:afterLines="0" w:line="600" w:lineRule="atLeast"/>
      <w:ind w:firstLine="645"/>
    </w:pPr>
    <w:rPr>
      <w:rFonts w:eastAsia="仿宋_GB2312"/>
      <w:sz w:val="32"/>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49">
    <w:name w:val="正文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kern w:val="2"/>
      <w:sz w:val="21"/>
      <w:szCs w:val="24"/>
      <w:lang w:val="en-US" w:eastAsia="zh-CN" w:bidi="ar-SA"/>
    </w:rPr>
  </w:style>
  <w:style w:type="paragraph" w:customStyle="1" w:styleId="51">
    <w:name w:val="正文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52">
    <w:name w:val="正文文本缩进 New New"/>
    <w:basedOn w:val="45"/>
    <w:uiPriority w:val="0"/>
    <w:pPr>
      <w:ind w:firstLine="630"/>
    </w:pPr>
    <w:rPr>
      <w:rFonts w:ascii="仿宋_GB2312" w:eastAsia="仿宋_GB2312"/>
      <w:sz w:val="32"/>
    </w:rPr>
  </w:style>
  <w:style w:type="paragraph" w:customStyle="1" w:styleId="53">
    <w:name w:val="页眉 New New New New New New New New New"/>
    <w:basedOn w:val="39"/>
    <w:uiPriority w:val="0"/>
    <w:pPr>
      <w:pBdr>
        <w:bottom w:val="single" w:color="auto" w:sz="6" w:space="1"/>
      </w:pBdr>
      <w:tabs>
        <w:tab w:val="center" w:pos="4153"/>
        <w:tab w:val="right" w:pos="8306"/>
      </w:tabs>
      <w:snapToGrid w:val="0"/>
      <w:jc w:val="center"/>
    </w:pPr>
    <w:rPr>
      <w:sz w:val="18"/>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7">
    <w:name w:val="正文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58">
    <w:name w:val="正文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59">
    <w:name w:val="标题 New"/>
    <w:basedOn w:val="27"/>
    <w:uiPriority w:val="0"/>
    <w:pPr>
      <w:spacing w:before="240" w:beforeLines="0" w:after="60" w:afterLines="0"/>
      <w:jc w:val="center"/>
      <w:outlineLvl w:val="0"/>
    </w:pPr>
    <w:rPr>
      <w:rFonts w:ascii="Arial" w:hAnsi="Arial" w:eastAsia="宋体" w:cs="Arial"/>
      <w:b/>
      <w:bCs/>
      <w:szCs w:val="32"/>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1">
    <w:name w:val="正文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62">
    <w:name w:val="正文 New New New New"/>
    <w:uiPriority w:val="0"/>
    <w:pPr>
      <w:widowControl w:val="0"/>
      <w:jc w:val="both"/>
    </w:pPr>
    <w:rPr>
      <w:rFonts w:ascii="Times New Roman" w:hAnsi="Times New Roman" w:eastAsia="宋体"/>
      <w:kern w:val="2"/>
      <w:sz w:val="21"/>
      <w:lang w:val="en-US" w:eastAsia="zh-CN"/>
    </w:rPr>
  </w:style>
  <w:style w:type="paragraph" w:customStyle="1" w:styleId="63">
    <w:name w:val="页脚 New New New New New New New New New New New"/>
    <w:basedOn w:val="64"/>
    <w:uiPriority w:val="0"/>
    <w:pPr>
      <w:tabs>
        <w:tab w:val="center" w:pos="4153"/>
        <w:tab w:val="right" w:pos="8306"/>
      </w:tabs>
      <w:snapToGrid w:val="0"/>
      <w:jc w:val="left"/>
    </w:pPr>
    <w:rPr>
      <w:rFonts w:eastAsia="仿宋_GB2312"/>
      <w:kern w:val="2"/>
      <w:sz w:val="18"/>
      <w:szCs w:val="18"/>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65">
    <w:name w:val="正文 New New New New New New New New New New New New New New"/>
    <w:uiPriority w:val="0"/>
    <w:pPr>
      <w:widowControl w:val="0"/>
      <w:jc w:val="both"/>
    </w:pPr>
    <w:rPr>
      <w:rFonts w:ascii="Calibri" w:hAnsi="Calibri" w:eastAsia="宋体"/>
      <w:kern w:val="2"/>
      <w:sz w:val="21"/>
      <w:szCs w:val="22"/>
      <w:lang w:val="en-US" w:eastAsia="zh-CN" w:bidi="ar-SA"/>
    </w:rPr>
  </w:style>
  <w:style w:type="paragraph" w:customStyle="1" w:styleId="66">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67">
    <w:name w:val="标题 1 New New New New New New New New New"/>
    <w:basedOn w:val="59"/>
    <w:next w:val="27"/>
    <w:uiPriority w:val="0"/>
    <w:pPr>
      <w:keepNext/>
      <w:keepLines/>
      <w:spacing w:before="0" w:beforeLines="0" w:after="0" w:afterLines="0"/>
    </w:pPr>
    <w:rPr>
      <w:rFonts w:eastAsia="方正小标宋简体"/>
      <w:b w:val="0"/>
      <w:bCs w:val="0"/>
      <w:kern w:val="44"/>
      <w:sz w:val="44"/>
      <w:szCs w:val="44"/>
    </w:rPr>
  </w:style>
  <w:style w:type="paragraph" w:customStyle="1" w:styleId="68">
    <w:name w:val="正文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69">
    <w:name w:val="正文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w:uiPriority w:val="0"/>
    <w:pPr>
      <w:widowControl w:val="0"/>
      <w:suppressAutoHyphens/>
    </w:pPr>
    <w:rPr>
      <w:rFonts w:ascii="Times New Roman" w:hAnsi="Times New Roman" w:eastAsia="宋体" w:cs="Tahoma"/>
      <w:kern w:val="1"/>
      <w:sz w:val="24"/>
      <w:szCs w:val="24"/>
      <w:lang w:val="en-US" w:eastAsia="zh-CN" w:bidi="zh-CN"/>
    </w:rPr>
  </w:style>
  <w:style w:type="paragraph" w:customStyle="1" w:styleId="71">
    <w:name w:val="正文 New New New New New New New New New New New New New New New"/>
    <w:uiPriority w:val="0"/>
    <w:pPr>
      <w:widowControl w:val="0"/>
      <w:jc w:val="both"/>
    </w:pPr>
    <w:rPr>
      <w:rFonts w:ascii="Calibri" w:hAnsi="Calibri" w:eastAsia="宋体"/>
      <w:kern w:val="2"/>
      <w:sz w:val="21"/>
      <w:szCs w:val="22"/>
      <w:lang w:val="en-US" w:eastAsia="zh-CN" w:bidi="ar-SA"/>
    </w:rPr>
  </w:style>
  <w:style w:type="paragraph" w:customStyle="1" w:styleId="72">
    <w:name w:val="页眉 New"/>
    <w:basedOn w:val="13"/>
    <w:uiPriority w:val="0"/>
    <w:pPr>
      <w:pBdr>
        <w:bottom w:val="single" w:color="auto" w:sz="6" w:space="1"/>
      </w:pBdr>
      <w:tabs>
        <w:tab w:val="center" w:pos="4153"/>
        <w:tab w:val="right" w:pos="8306"/>
      </w:tabs>
      <w:snapToGrid w:val="0"/>
      <w:jc w:val="center"/>
    </w:pPr>
    <w:rPr>
      <w:sz w:val="18"/>
    </w:rPr>
  </w:style>
  <w:style w:type="paragraph" w:customStyle="1" w:styleId="73">
    <w:name w:val="页眉 New New"/>
    <w:basedOn w:val="36"/>
    <w:uiPriority w:val="0"/>
    <w:pPr>
      <w:pBdr>
        <w:bottom w:val="single" w:color="auto" w:sz="6" w:space="1"/>
      </w:pBdr>
      <w:tabs>
        <w:tab w:val="center" w:pos="4153"/>
        <w:tab w:val="right" w:pos="8306"/>
      </w:tabs>
      <w:snapToGrid w:val="0"/>
      <w:jc w:val="center"/>
    </w:pPr>
    <w:rPr>
      <w:sz w:val="18"/>
    </w:rPr>
  </w:style>
  <w:style w:type="paragraph" w:customStyle="1" w:styleId="74">
    <w:name w:val="页眉 New New New"/>
    <w:basedOn w:val="6"/>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76">
    <w:name w:val="正文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77">
    <w:name w:val="正文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8">
    <w:name w:val="正文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79">
    <w:name w:val="正文 New New New New New New New New New New New New"/>
    <w:uiPriority w:val="0"/>
    <w:pPr>
      <w:widowControl w:val="0"/>
      <w:jc w:val="both"/>
    </w:pPr>
    <w:rPr>
      <w:rFonts w:ascii="Calibri" w:hAnsi="Calibri" w:eastAsia="宋体"/>
      <w:kern w:val="2"/>
      <w:sz w:val="21"/>
      <w:szCs w:val="22"/>
      <w:lang w:val="en-US" w:eastAsia="zh-CN" w:bidi="ar-SA"/>
    </w:rPr>
  </w:style>
  <w:style w:type="paragraph" w:customStyle="1" w:styleId="80">
    <w:name w:val="页脚 New New New New New New New New New New New New New New New New New New New New New New New New New New New New New New New New New"/>
    <w:basedOn w:val="81"/>
    <w:uiPriority w:val="0"/>
    <w:pPr>
      <w:tabs>
        <w:tab w:val="center" w:pos="4153"/>
        <w:tab w:val="right" w:pos="8306"/>
      </w:tabs>
      <w:snapToGrid w:val="0"/>
      <w:jc w:val="left"/>
    </w:pPr>
    <w:rPr>
      <w:sz w:val="18"/>
      <w:szCs w:val="18"/>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kern w:val="2"/>
      <w:sz w:val="21"/>
      <w:szCs w:val="22"/>
      <w:lang w:val="en-US" w:eastAsia="zh-CN" w:bidi="ar-SA"/>
    </w:rPr>
  </w:style>
  <w:style w:type="paragraph" w:customStyle="1" w:styleId="82">
    <w:name w:val=" Char Char Char Char"/>
    <w:basedOn w:val="8"/>
    <w:uiPriority w:val="0"/>
    <w:pPr>
      <w:widowControl/>
      <w:tabs>
        <w:tab w:val="left" w:pos="7680"/>
      </w:tabs>
      <w:ind w:firstLine="640" w:firstLineChars="200"/>
    </w:pPr>
    <w:rPr>
      <w:rFonts w:ascii="仿宋_GB2312" w:hAnsi="Verdana"/>
      <w:kern w:val="0"/>
      <w:szCs w:val="32"/>
      <w:lang w:eastAsia="en-US"/>
    </w:rPr>
  </w:style>
  <w:style w:type="paragraph" w:customStyle="1" w:styleId="83">
    <w:name w:val="页脚 New New New New New New"/>
    <w:basedOn w:val="50"/>
    <w:uiPriority w:val="0"/>
    <w:pPr>
      <w:tabs>
        <w:tab w:val="center" w:pos="4153"/>
        <w:tab w:val="right" w:pos="8306"/>
      </w:tabs>
      <w:snapToGrid w:val="0"/>
      <w:jc w:val="left"/>
    </w:pPr>
    <w:rPr>
      <w:rFonts w:ascii="Calibri" w:hAnsi="Calibri"/>
      <w:kern w:val="2"/>
      <w:sz w:val="18"/>
      <w:szCs w:val="18"/>
    </w:rPr>
  </w:style>
  <w:style w:type="paragraph" w:customStyle="1" w:styleId="84">
    <w:name w:val="p15"/>
    <w:basedOn w:val="85"/>
    <w:uiPriority w:val="0"/>
    <w:pPr>
      <w:widowControl/>
    </w:pPr>
    <w:rPr>
      <w:kern w:val="0"/>
      <w:szCs w:val="21"/>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86">
    <w:name w:val="正文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88">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32"/>
      <w:szCs w:val="24"/>
      <w:lang w:val="en-US" w:eastAsia="zh-CN" w:bidi="ar-SA"/>
    </w:rPr>
  </w:style>
  <w:style w:type="paragraph" w:customStyle="1" w:styleId="89">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90">
    <w:name w:val="正文文本 New"/>
    <w:basedOn w:val="49"/>
    <w:uiPriority w:val="0"/>
    <w:pPr>
      <w:spacing w:after="120" w:afterLines="0"/>
    </w:pPr>
  </w:style>
  <w:style w:type="paragraph" w:customStyle="1" w:styleId="91">
    <w:name w:val="页脚 New"/>
    <w:basedOn w:val="18"/>
    <w:uiPriority w:val="0"/>
    <w:pPr>
      <w:tabs>
        <w:tab w:val="center" w:pos="4153"/>
        <w:tab w:val="right" w:pos="8306"/>
      </w:tabs>
      <w:snapToGrid w:val="0"/>
      <w:jc w:val="left"/>
    </w:pPr>
    <w:rPr>
      <w:sz w:val="18"/>
      <w:szCs w:val="18"/>
    </w:rPr>
  </w:style>
  <w:style w:type="paragraph" w:customStyle="1" w:styleId="92">
    <w:name w:val="Char Char Char Char Char Char1 Char Char Char Char"/>
    <w:basedOn w:val="81"/>
    <w:uiPriority w:val="0"/>
    <w:rPr>
      <w:rFonts w:eastAsia="仿宋_GB2312"/>
      <w:sz w:val="32"/>
      <w:szCs w:val="32"/>
    </w:rPr>
  </w:style>
  <w:style w:type="paragraph" w:customStyle="1" w:styleId="93">
    <w:name w:val="页脚 New New New"/>
    <w:basedOn w:val="71"/>
    <w:uiPriority w:val="0"/>
    <w:pPr>
      <w:tabs>
        <w:tab w:val="center" w:pos="4153"/>
        <w:tab w:val="right" w:pos="8306"/>
      </w:tabs>
      <w:snapToGrid w:val="0"/>
      <w:jc w:val="left"/>
    </w:pPr>
    <w:rPr>
      <w:sz w:val="18"/>
      <w:szCs w:val="18"/>
    </w:rPr>
  </w:style>
  <w:style w:type="paragraph" w:customStyle="1" w:styleId="94">
    <w:name w:val="Normal (Web)"/>
    <w:basedOn w:val="95"/>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5">
    <w:name w:val="正文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kern w:val="2"/>
      <w:sz w:val="21"/>
      <w:szCs w:val="22"/>
      <w:lang w:val="en-US" w:eastAsia="zh-CN"/>
    </w:rPr>
  </w:style>
  <w:style w:type="paragraph" w:customStyle="1" w:styleId="96">
    <w:name w:val="普通(网站) New"/>
    <w:basedOn w:val="29"/>
    <w:uiPriority w:val="0"/>
    <w:pPr>
      <w:widowControl/>
      <w:jc w:val="left"/>
    </w:pPr>
    <w:rPr>
      <w:rFonts w:ascii="宋体" w:hAnsi="宋体" w:cs="宋体"/>
      <w:kern w:val="0"/>
      <w:sz w:val="24"/>
    </w:rPr>
  </w:style>
  <w:style w:type="paragraph" w:customStyle="1" w:styleId="97">
    <w:name w:val="页脚 New New New New New New New New New New"/>
    <w:basedOn w:val="48"/>
    <w:uiPriority w:val="0"/>
    <w:pPr>
      <w:tabs>
        <w:tab w:val="center" w:pos="4153"/>
        <w:tab w:val="right" w:pos="8306"/>
      </w:tabs>
      <w:snapToGrid w:val="0"/>
      <w:jc w:val="left"/>
    </w:pPr>
    <w:rPr>
      <w:sz w:val="18"/>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 New"/>
    <w:uiPriority w:val="0"/>
    <w:pPr>
      <w:widowControl w:val="0"/>
      <w:jc w:val="both"/>
    </w:pPr>
    <w:rPr>
      <w:rFonts w:ascii="Times New Roman" w:hAnsi="Times New Roman" w:eastAsia="宋体"/>
      <w:kern w:val="2"/>
      <w:sz w:val="21"/>
      <w:lang w:val="en-US" w:eastAsia="zh-CN" w:bidi="ar-SA"/>
    </w:rPr>
  </w:style>
  <w:style w:type="paragraph" w:customStyle="1" w:styleId="99">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101">
    <w:name w:val="正文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102">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103">
    <w:name w:val="正文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04">
    <w:name w:val="普通(网站) New New"/>
    <w:basedOn w:val="22"/>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5">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106">
    <w:name w:val="正文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仿宋_GB2312" w:eastAsia="仿宋_GB2312"/>
      <w:kern w:val="2"/>
      <w:sz w:val="32"/>
      <w:szCs w:val="32"/>
      <w:lang w:val="en-US" w:eastAsia="zh-CN"/>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Times New Roman" w:eastAsia="仿宋_GB2312"/>
      <w:kern w:val="2"/>
      <w:sz w:val="32"/>
      <w:lang w:val="en-US" w:eastAsia="zh-CN" w:bidi="ar-SA"/>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113">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114">
    <w:name w:val="页脚 New New New New New New New New New New New New"/>
    <w:basedOn w:val="115"/>
    <w:uiPriority w:val="0"/>
    <w:pPr>
      <w:tabs>
        <w:tab w:val="center" w:pos="4153"/>
        <w:tab w:val="right" w:pos="8306"/>
      </w:tabs>
      <w:snapToGrid w:val="0"/>
      <w:jc w:val="left"/>
    </w:pPr>
    <w:rPr>
      <w:rFonts w:eastAsia="仿宋_GB2312"/>
      <w:sz w:val="18"/>
      <w:szCs w:val="18"/>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character" w:customStyle="1" w:styleId="116">
    <w:name w:val="要点 New New"/>
    <w:basedOn w:val="3"/>
    <w:uiPriority w:val="0"/>
    <w:rPr>
      <w:rFonts w:ascii="Times New Roman" w:hAnsi="Times New Roman" w:eastAsia="宋体"/>
      <w:b/>
      <w:bCs/>
    </w:rPr>
  </w:style>
  <w:style w:type="character" w:customStyle="1" w:styleId="117">
    <w:name w:val="apple-converted-space"/>
    <w:basedOn w:val="3"/>
    <w:uiPriority w:val="0"/>
    <w:rPr>
      <w:rFonts w:ascii="Times New Roman" w:hAnsi="Times New Roman" w:eastAsia="宋体"/>
    </w:rPr>
  </w:style>
  <w:style w:type="character" w:customStyle="1" w:styleId="118">
    <w:name w:val="默认段落字体 New"/>
    <w:uiPriority w:val="0"/>
    <w:rPr>
      <w:rFonts w:ascii="Verdana" w:hAnsi="Verdana" w:eastAsia="宋体"/>
      <w:kern w:val="0"/>
      <w:sz w:val="24"/>
      <w:szCs w:val="20"/>
      <w:lang w:eastAsia="en-US"/>
    </w:rPr>
  </w:style>
  <w:style w:type="character" w:customStyle="1" w:styleId="119">
    <w:name w:val="页码 New"/>
    <w:basedOn w:val="3"/>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050;&#21457;&#24067;2017\&#21335;&#24220;\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2018-02-12T08:40:00Z</dcterms:created>
  <dc:creator>Administrator</dc:creator>
  <cp:lastModifiedBy>Administrator</cp:lastModifiedBy>
  <dcterms:modified xsi:type="dcterms:W3CDTF">2018-02-12T08:47:07Z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