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F43" w:rsidRPr="00E45F43" w:rsidRDefault="00E45F43" w:rsidP="00E45F43">
      <w:pPr>
        <w:widowControl/>
        <w:shd w:val="clear" w:color="auto" w:fill="FFFFFF"/>
        <w:spacing w:before="300" w:after="150"/>
        <w:jc w:val="center"/>
        <w:outlineLvl w:val="2"/>
        <w:rPr>
          <w:rFonts w:ascii="Helvetica" w:eastAsia="宋体" w:hAnsi="Helvetica" w:cs="Helvetica"/>
          <w:color w:val="333333"/>
          <w:kern w:val="0"/>
          <w:sz w:val="36"/>
          <w:szCs w:val="36"/>
        </w:rPr>
      </w:pPr>
      <w:r w:rsidRPr="00E45F43">
        <w:rPr>
          <w:rFonts w:ascii="Helvetica" w:eastAsia="宋体" w:hAnsi="Helvetica" w:cs="Helvetica"/>
          <w:b/>
          <w:bCs/>
          <w:color w:val="333333"/>
          <w:kern w:val="0"/>
          <w:sz w:val="36"/>
          <w:szCs w:val="36"/>
        </w:rPr>
        <w:t>盈江县进一步推进招商引资工作实施办法（试行）</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第一章</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总则</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第一条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为进一步加快盈江对外开放步伐，改善投资环境，促进全县经济快速健康发展。根据国家有关法律法规和政策，结合盈江实际，特制定本实施办法。</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第二条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外来投资者在盈江注册具有独立法人资格、独立核算的新入驻企业</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除房地产开发项目、水电站开发项目、龙头水库开发除外</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和国家投资产业政策禁止及限制类项目外，执行本办法。</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第三条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本办法所称的外来投资者是指到盈江县投资的国内外工商企业﹑事业单位﹑各类经济组织和社会各界人士。</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第二章</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项目用地扶持</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第四条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外来投资者投资国家鼓励类产业项目用地，根据其固定资产投资额予以分级分类资金扶持。</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见附表</w:t>
      </w:r>
      <w:r w:rsidRPr="00E45F43">
        <w:rPr>
          <w:rFonts w:ascii="Helvetica" w:eastAsia="宋体" w:hAnsi="Helvetica" w:cs="Helvetica"/>
          <w:color w:val="333333"/>
          <w:kern w:val="0"/>
          <w:szCs w:val="21"/>
        </w:rPr>
        <w:t>)</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一、投资工业类项目扶持标准</w:t>
      </w:r>
    </w:p>
    <w:tbl>
      <w:tblPr>
        <w:tblW w:w="91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45"/>
        <w:gridCol w:w="3045"/>
        <w:gridCol w:w="3045"/>
      </w:tblGrid>
      <w:tr w:rsidR="00E45F43" w:rsidRPr="00E45F43" w:rsidTr="00E45F43">
        <w:trPr>
          <w:trHeight w:val="1185"/>
        </w:trPr>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ind w:left="840"/>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固定资产投资额及政府扶持金</w:t>
            </w:r>
          </w:p>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产业名称</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固定资产投资额</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万元</w:t>
            </w:r>
            <w:r w:rsidRPr="00E45F43">
              <w:rPr>
                <w:rFonts w:ascii="Helvetica" w:eastAsia="宋体" w:hAnsi="Helvetica" w:cs="Helvetica"/>
                <w:color w:val="333333"/>
                <w:kern w:val="0"/>
                <w:szCs w:val="21"/>
              </w:rPr>
              <w:t>)</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政府扶持资金（万元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亩）</w:t>
            </w:r>
          </w:p>
        </w:tc>
      </w:tr>
      <w:tr w:rsidR="00E45F43" w:rsidRPr="00E45F43" w:rsidTr="00E45F43">
        <w:trPr>
          <w:trHeight w:val="1365"/>
        </w:trPr>
        <w:tc>
          <w:tcPr>
            <w:tcW w:w="30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投</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资</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工</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业</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类</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项</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目</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扶</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持</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lastRenderedPageBreak/>
              <w:t>标</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准</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lastRenderedPageBreak/>
              <w:t>5000</w:t>
            </w:r>
            <w:r w:rsidRPr="00E45F43">
              <w:rPr>
                <w:rFonts w:ascii="Helvetica" w:eastAsia="宋体" w:hAnsi="Helvetica" w:cs="Helvetica"/>
                <w:color w:val="333333"/>
                <w:kern w:val="0"/>
                <w:szCs w:val="21"/>
              </w:rPr>
              <w:t>万元以上（含）</w:t>
            </w:r>
            <w:r w:rsidRPr="00E45F43">
              <w:rPr>
                <w:rFonts w:ascii="Helvetica" w:eastAsia="宋体" w:hAnsi="Helvetica" w:cs="Helvetica"/>
                <w:color w:val="333333"/>
                <w:kern w:val="0"/>
                <w:szCs w:val="21"/>
              </w:rPr>
              <w:t>1</w:t>
            </w:r>
            <w:r w:rsidRPr="00E45F43">
              <w:rPr>
                <w:rFonts w:ascii="Helvetica" w:eastAsia="宋体" w:hAnsi="Helvetica" w:cs="Helvetica"/>
                <w:color w:val="333333"/>
                <w:kern w:val="0"/>
                <w:szCs w:val="21"/>
              </w:rPr>
              <w:t>亿元以下</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0.5</w:t>
            </w:r>
          </w:p>
        </w:tc>
      </w:tr>
      <w:tr w:rsidR="00E45F43" w:rsidRPr="00E45F43" w:rsidTr="00E45F43">
        <w:trPr>
          <w:trHeight w:val="1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1</w:t>
            </w:r>
            <w:r w:rsidRPr="00E45F43">
              <w:rPr>
                <w:rFonts w:ascii="Helvetica" w:eastAsia="宋体" w:hAnsi="Helvetica" w:cs="Helvetica"/>
                <w:color w:val="333333"/>
                <w:kern w:val="0"/>
                <w:szCs w:val="21"/>
              </w:rPr>
              <w:t>亿元以上（含）</w:t>
            </w:r>
            <w:r w:rsidRPr="00E45F43">
              <w:rPr>
                <w:rFonts w:ascii="Helvetica" w:eastAsia="宋体" w:hAnsi="Helvetica" w:cs="Helvetica"/>
                <w:color w:val="333333"/>
                <w:kern w:val="0"/>
                <w:szCs w:val="21"/>
              </w:rPr>
              <w:t>2</w:t>
            </w:r>
            <w:r w:rsidRPr="00E45F43">
              <w:rPr>
                <w:rFonts w:ascii="Helvetica" w:eastAsia="宋体" w:hAnsi="Helvetica" w:cs="Helvetica"/>
                <w:color w:val="333333"/>
                <w:kern w:val="0"/>
                <w:szCs w:val="21"/>
              </w:rPr>
              <w:t>亿元以下</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1</w:t>
            </w:r>
          </w:p>
        </w:tc>
      </w:tr>
      <w:tr w:rsidR="00E45F43" w:rsidRPr="00E45F43" w:rsidTr="00E45F43">
        <w:trPr>
          <w:trHeight w:val="1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2</w:t>
            </w:r>
            <w:r w:rsidRPr="00E45F43">
              <w:rPr>
                <w:rFonts w:ascii="Helvetica" w:eastAsia="宋体" w:hAnsi="Helvetica" w:cs="Helvetica"/>
                <w:color w:val="333333"/>
                <w:kern w:val="0"/>
                <w:szCs w:val="21"/>
              </w:rPr>
              <w:t>亿元以上（含）</w:t>
            </w:r>
            <w:r w:rsidRPr="00E45F43">
              <w:rPr>
                <w:rFonts w:ascii="Helvetica" w:eastAsia="宋体" w:hAnsi="Helvetica" w:cs="Helvetica"/>
                <w:color w:val="333333"/>
                <w:kern w:val="0"/>
                <w:szCs w:val="21"/>
              </w:rPr>
              <w:t>3</w:t>
            </w:r>
            <w:r w:rsidRPr="00E45F43">
              <w:rPr>
                <w:rFonts w:ascii="Helvetica" w:eastAsia="宋体" w:hAnsi="Helvetica" w:cs="Helvetica"/>
                <w:color w:val="333333"/>
                <w:kern w:val="0"/>
                <w:szCs w:val="21"/>
              </w:rPr>
              <w:t>亿元以下</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1.5</w:t>
            </w:r>
          </w:p>
        </w:tc>
      </w:tr>
      <w:tr w:rsidR="00E45F43" w:rsidRPr="00E45F43" w:rsidTr="00E45F43">
        <w:trPr>
          <w:trHeight w:val="1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3</w:t>
            </w:r>
            <w:r w:rsidRPr="00E45F43">
              <w:rPr>
                <w:rFonts w:ascii="Helvetica" w:eastAsia="宋体" w:hAnsi="Helvetica" w:cs="Helvetica"/>
                <w:color w:val="333333"/>
                <w:kern w:val="0"/>
                <w:szCs w:val="21"/>
              </w:rPr>
              <w:t>亿元以上（含）</w:t>
            </w:r>
            <w:r w:rsidRPr="00E45F43">
              <w:rPr>
                <w:rFonts w:ascii="Helvetica" w:eastAsia="宋体" w:hAnsi="Helvetica" w:cs="Helvetica"/>
                <w:color w:val="333333"/>
                <w:kern w:val="0"/>
                <w:szCs w:val="21"/>
              </w:rPr>
              <w:t>4</w:t>
            </w:r>
            <w:r w:rsidRPr="00E45F43">
              <w:rPr>
                <w:rFonts w:ascii="Helvetica" w:eastAsia="宋体" w:hAnsi="Helvetica" w:cs="Helvetica"/>
                <w:color w:val="333333"/>
                <w:kern w:val="0"/>
                <w:szCs w:val="21"/>
              </w:rPr>
              <w:t>亿元以下</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2</w:t>
            </w:r>
          </w:p>
        </w:tc>
      </w:tr>
      <w:tr w:rsidR="00E45F43" w:rsidRPr="00E45F43" w:rsidTr="00E45F43">
        <w:trPr>
          <w:trHeight w:val="18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4</w:t>
            </w:r>
            <w:r w:rsidRPr="00E45F43">
              <w:rPr>
                <w:rFonts w:ascii="Helvetica" w:eastAsia="宋体" w:hAnsi="Helvetica" w:cs="Helvetica"/>
                <w:color w:val="333333"/>
                <w:kern w:val="0"/>
                <w:szCs w:val="21"/>
              </w:rPr>
              <w:t>亿元以上（含）</w:t>
            </w:r>
            <w:r w:rsidRPr="00E45F43">
              <w:rPr>
                <w:rFonts w:ascii="Helvetica" w:eastAsia="宋体" w:hAnsi="Helvetica" w:cs="Helvetica"/>
                <w:color w:val="333333"/>
                <w:kern w:val="0"/>
                <w:szCs w:val="21"/>
              </w:rPr>
              <w:t>5</w:t>
            </w:r>
            <w:r w:rsidRPr="00E45F43">
              <w:rPr>
                <w:rFonts w:ascii="Helvetica" w:eastAsia="宋体" w:hAnsi="Helvetica" w:cs="Helvetica"/>
                <w:color w:val="333333"/>
                <w:kern w:val="0"/>
                <w:szCs w:val="21"/>
              </w:rPr>
              <w:t>亿元以下</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2.5</w:t>
            </w:r>
          </w:p>
        </w:tc>
      </w:tr>
      <w:tr w:rsidR="00E45F43" w:rsidRPr="00E45F43" w:rsidTr="00E45F43">
        <w:trPr>
          <w:trHeight w:val="22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5</w:t>
            </w:r>
            <w:r w:rsidRPr="00E45F43">
              <w:rPr>
                <w:rFonts w:ascii="Helvetica" w:eastAsia="宋体" w:hAnsi="Helvetica" w:cs="Helvetica"/>
                <w:color w:val="333333"/>
                <w:kern w:val="0"/>
                <w:szCs w:val="21"/>
              </w:rPr>
              <w:t>亿元以上</w:t>
            </w:r>
          </w:p>
        </w:tc>
        <w:tc>
          <w:tcPr>
            <w:tcW w:w="3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采取一事一议</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w:t>
            </w:r>
            <w:proofErr w:type="gramStart"/>
            <w:r w:rsidRPr="00E45F43">
              <w:rPr>
                <w:rFonts w:ascii="Helvetica" w:eastAsia="宋体" w:hAnsi="Helvetica" w:cs="Helvetica"/>
                <w:color w:val="333333"/>
                <w:kern w:val="0"/>
                <w:szCs w:val="21"/>
              </w:rPr>
              <w:t>一</w:t>
            </w:r>
            <w:proofErr w:type="gramEnd"/>
            <w:r w:rsidRPr="00E45F43">
              <w:rPr>
                <w:rFonts w:ascii="Helvetica" w:eastAsia="宋体" w:hAnsi="Helvetica" w:cs="Helvetica"/>
                <w:color w:val="333333"/>
                <w:kern w:val="0"/>
                <w:szCs w:val="21"/>
              </w:rPr>
              <w:t>企</w:t>
            </w:r>
            <w:proofErr w:type="gramStart"/>
            <w:r w:rsidRPr="00E45F43">
              <w:rPr>
                <w:rFonts w:ascii="Helvetica" w:eastAsia="宋体" w:hAnsi="Helvetica" w:cs="Helvetica"/>
                <w:color w:val="333333"/>
                <w:kern w:val="0"/>
                <w:szCs w:val="21"/>
              </w:rPr>
              <w:t>一</w:t>
            </w:r>
            <w:proofErr w:type="gramEnd"/>
            <w:r w:rsidRPr="00E45F43">
              <w:rPr>
                <w:rFonts w:ascii="Helvetica" w:eastAsia="宋体" w:hAnsi="Helvetica" w:cs="Helvetica"/>
                <w:color w:val="333333"/>
                <w:kern w:val="0"/>
                <w:szCs w:val="21"/>
              </w:rPr>
              <w:t>策</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的优惠扶持办法</w:t>
            </w:r>
          </w:p>
        </w:tc>
      </w:tr>
    </w:tbl>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lastRenderedPageBreak/>
        <w:t xml:space="preserve">　　二、投资农、林、牧、渔业类项目扶持标准。</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75"/>
        <w:gridCol w:w="2761"/>
        <w:gridCol w:w="2754"/>
      </w:tblGrid>
      <w:tr w:rsidR="00E45F43" w:rsidRPr="00E45F43" w:rsidTr="00E45F43">
        <w:trPr>
          <w:trHeight w:val="1080"/>
        </w:trPr>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ind w:left="840"/>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固定资产投资额及政府扶持金</w:t>
            </w:r>
          </w:p>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产业名称</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固定资产投资额</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万元</w:t>
            </w:r>
            <w:r w:rsidRPr="00E45F43">
              <w:rPr>
                <w:rFonts w:ascii="Helvetica" w:eastAsia="宋体" w:hAnsi="Helvetica" w:cs="Helvetica"/>
                <w:color w:val="333333"/>
                <w:kern w:val="0"/>
                <w:szCs w:val="21"/>
              </w:rPr>
              <w:t>)</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政府扶持资金（万元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亩）</w:t>
            </w:r>
          </w:p>
        </w:tc>
      </w:tr>
      <w:tr w:rsidR="00E45F43" w:rsidRPr="00E45F43" w:rsidTr="00E45F43">
        <w:tc>
          <w:tcPr>
            <w:tcW w:w="28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农</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林</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牧</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渔</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业</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类</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扶</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持</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标</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准</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3000</w:t>
            </w:r>
            <w:r w:rsidRPr="00E45F43">
              <w:rPr>
                <w:rFonts w:ascii="Helvetica" w:eastAsia="宋体" w:hAnsi="Helvetica" w:cs="Helvetica"/>
                <w:color w:val="333333"/>
                <w:kern w:val="0"/>
                <w:szCs w:val="21"/>
              </w:rPr>
              <w:t>万元以上（含）</w:t>
            </w:r>
            <w:r w:rsidRPr="00E45F43">
              <w:rPr>
                <w:rFonts w:ascii="Helvetica" w:eastAsia="宋体" w:hAnsi="Helvetica" w:cs="Helvetica"/>
                <w:color w:val="333333"/>
                <w:kern w:val="0"/>
                <w:szCs w:val="21"/>
              </w:rPr>
              <w:t>5000</w:t>
            </w:r>
            <w:r w:rsidRPr="00E45F43">
              <w:rPr>
                <w:rFonts w:ascii="Helvetica" w:eastAsia="宋体" w:hAnsi="Helvetica" w:cs="Helvetica"/>
                <w:color w:val="333333"/>
                <w:kern w:val="0"/>
                <w:szCs w:val="21"/>
              </w:rPr>
              <w:t>万元以下</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0.5</w:t>
            </w:r>
          </w:p>
        </w:tc>
      </w:tr>
      <w:tr w:rsidR="00E45F43" w:rsidRPr="00E45F43" w:rsidTr="00E45F4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5000</w:t>
            </w:r>
            <w:r w:rsidRPr="00E45F43">
              <w:rPr>
                <w:rFonts w:ascii="Helvetica" w:eastAsia="宋体" w:hAnsi="Helvetica" w:cs="Helvetica"/>
                <w:color w:val="333333"/>
                <w:kern w:val="0"/>
                <w:szCs w:val="21"/>
              </w:rPr>
              <w:t>万元以上（含）</w:t>
            </w:r>
            <w:r w:rsidRPr="00E45F43">
              <w:rPr>
                <w:rFonts w:ascii="Helvetica" w:eastAsia="宋体" w:hAnsi="Helvetica" w:cs="Helvetica"/>
                <w:color w:val="333333"/>
                <w:kern w:val="0"/>
                <w:szCs w:val="21"/>
              </w:rPr>
              <w:t>1</w:t>
            </w:r>
            <w:r w:rsidRPr="00E45F43">
              <w:rPr>
                <w:rFonts w:ascii="Helvetica" w:eastAsia="宋体" w:hAnsi="Helvetica" w:cs="Helvetica"/>
                <w:color w:val="333333"/>
                <w:kern w:val="0"/>
                <w:szCs w:val="21"/>
              </w:rPr>
              <w:t>亿元以下</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1</w:t>
            </w:r>
          </w:p>
        </w:tc>
      </w:tr>
      <w:tr w:rsidR="00E45F43" w:rsidRPr="00E45F43" w:rsidTr="00E45F4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1</w:t>
            </w:r>
            <w:r w:rsidRPr="00E45F43">
              <w:rPr>
                <w:rFonts w:ascii="Helvetica" w:eastAsia="宋体" w:hAnsi="Helvetica" w:cs="Helvetica"/>
                <w:color w:val="333333"/>
                <w:kern w:val="0"/>
                <w:szCs w:val="21"/>
              </w:rPr>
              <w:t>亿元以上（含）</w:t>
            </w:r>
            <w:r w:rsidRPr="00E45F43">
              <w:rPr>
                <w:rFonts w:ascii="Helvetica" w:eastAsia="宋体" w:hAnsi="Helvetica" w:cs="Helvetica"/>
                <w:color w:val="333333"/>
                <w:kern w:val="0"/>
                <w:szCs w:val="21"/>
              </w:rPr>
              <w:t>2</w:t>
            </w:r>
            <w:r w:rsidRPr="00E45F43">
              <w:rPr>
                <w:rFonts w:ascii="Helvetica" w:eastAsia="宋体" w:hAnsi="Helvetica" w:cs="Helvetica"/>
                <w:color w:val="333333"/>
                <w:kern w:val="0"/>
                <w:szCs w:val="21"/>
              </w:rPr>
              <w:t>亿元以下</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1.5</w:t>
            </w:r>
          </w:p>
        </w:tc>
      </w:tr>
      <w:tr w:rsidR="00E45F43" w:rsidRPr="00E45F43" w:rsidTr="00E45F4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2</w:t>
            </w:r>
            <w:r w:rsidRPr="00E45F43">
              <w:rPr>
                <w:rFonts w:ascii="Helvetica" w:eastAsia="宋体" w:hAnsi="Helvetica" w:cs="Helvetica"/>
                <w:color w:val="333333"/>
                <w:kern w:val="0"/>
                <w:szCs w:val="21"/>
              </w:rPr>
              <w:t>亿元以上（含）</w:t>
            </w:r>
            <w:r w:rsidRPr="00E45F43">
              <w:rPr>
                <w:rFonts w:ascii="Helvetica" w:eastAsia="宋体" w:hAnsi="Helvetica" w:cs="Helvetica"/>
                <w:color w:val="333333"/>
                <w:kern w:val="0"/>
                <w:szCs w:val="21"/>
              </w:rPr>
              <w:t>3</w:t>
            </w:r>
            <w:r w:rsidRPr="00E45F43">
              <w:rPr>
                <w:rFonts w:ascii="Helvetica" w:eastAsia="宋体" w:hAnsi="Helvetica" w:cs="Helvetica"/>
                <w:color w:val="333333"/>
                <w:kern w:val="0"/>
                <w:szCs w:val="21"/>
              </w:rPr>
              <w:t>亿元以下</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2</w:t>
            </w:r>
          </w:p>
        </w:tc>
      </w:tr>
      <w:tr w:rsidR="00E45F43" w:rsidRPr="00E45F43" w:rsidTr="00E45F4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3</w:t>
            </w:r>
            <w:r w:rsidRPr="00E45F43">
              <w:rPr>
                <w:rFonts w:ascii="Helvetica" w:eastAsia="宋体" w:hAnsi="Helvetica" w:cs="Helvetica"/>
                <w:color w:val="333333"/>
                <w:kern w:val="0"/>
                <w:szCs w:val="21"/>
              </w:rPr>
              <w:t>亿元以上（含）</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2.5</w:t>
            </w:r>
          </w:p>
        </w:tc>
      </w:tr>
    </w:tbl>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三、基础设施以及高科技、现代服务业企业类的扶持标准。</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75"/>
        <w:gridCol w:w="2761"/>
        <w:gridCol w:w="2754"/>
      </w:tblGrid>
      <w:tr w:rsidR="00E45F43" w:rsidRPr="00E45F43" w:rsidTr="00E45F43">
        <w:trPr>
          <w:trHeight w:val="1080"/>
        </w:trPr>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ind w:left="840"/>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固定资产投资额及政府扶持金</w:t>
            </w:r>
          </w:p>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产业名称</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固定资产投资额</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万元</w:t>
            </w:r>
            <w:r w:rsidRPr="00E45F43">
              <w:rPr>
                <w:rFonts w:ascii="Helvetica" w:eastAsia="宋体" w:hAnsi="Helvetica" w:cs="Helvetica"/>
                <w:color w:val="333333"/>
                <w:kern w:val="0"/>
                <w:szCs w:val="21"/>
              </w:rPr>
              <w:t>)</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政府扶持资金（万元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亩）</w:t>
            </w:r>
          </w:p>
        </w:tc>
      </w:tr>
      <w:tr w:rsidR="00E45F43" w:rsidRPr="00E45F43" w:rsidTr="00E45F43">
        <w:tc>
          <w:tcPr>
            <w:tcW w:w="28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 </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 </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 </w:t>
            </w:r>
          </w:p>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 </w:t>
            </w:r>
          </w:p>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lastRenderedPageBreak/>
              <w:t>投资基础设施以及高科技、现代服务业企业类项目扶持标准</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lastRenderedPageBreak/>
              <w:t>3000</w:t>
            </w:r>
            <w:r w:rsidRPr="00E45F43">
              <w:rPr>
                <w:rFonts w:ascii="Helvetica" w:eastAsia="宋体" w:hAnsi="Helvetica" w:cs="Helvetica"/>
                <w:color w:val="333333"/>
                <w:kern w:val="0"/>
                <w:szCs w:val="21"/>
              </w:rPr>
              <w:t>万元以上（含）</w:t>
            </w:r>
            <w:r w:rsidRPr="00E45F43">
              <w:rPr>
                <w:rFonts w:ascii="Helvetica" w:eastAsia="宋体" w:hAnsi="Helvetica" w:cs="Helvetica"/>
                <w:color w:val="333333"/>
                <w:kern w:val="0"/>
                <w:szCs w:val="21"/>
              </w:rPr>
              <w:t>5000</w:t>
            </w:r>
            <w:r w:rsidRPr="00E45F43">
              <w:rPr>
                <w:rFonts w:ascii="Helvetica" w:eastAsia="宋体" w:hAnsi="Helvetica" w:cs="Helvetica"/>
                <w:color w:val="333333"/>
                <w:kern w:val="0"/>
                <w:szCs w:val="21"/>
              </w:rPr>
              <w:t>万元以下</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0.5</w:t>
            </w:r>
          </w:p>
        </w:tc>
      </w:tr>
      <w:tr w:rsidR="00E45F43" w:rsidRPr="00E45F43" w:rsidTr="00E45F4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5000</w:t>
            </w:r>
            <w:r w:rsidRPr="00E45F43">
              <w:rPr>
                <w:rFonts w:ascii="Helvetica" w:eastAsia="宋体" w:hAnsi="Helvetica" w:cs="Helvetica"/>
                <w:color w:val="333333"/>
                <w:kern w:val="0"/>
                <w:szCs w:val="21"/>
              </w:rPr>
              <w:t>万元以上（含）</w:t>
            </w:r>
            <w:r w:rsidRPr="00E45F43">
              <w:rPr>
                <w:rFonts w:ascii="Helvetica" w:eastAsia="宋体" w:hAnsi="Helvetica" w:cs="Helvetica"/>
                <w:color w:val="333333"/>
                <w:kern w:val="0"/>
                <w:szCs w:val="21"/>
              </w:rPr>
              <w:t>1</w:t>
            </w:r>
            <w:r w:rsidRPr="00E45F43">
              <w:rPr>
                <w:rFonts w:ascii="Helvetica" w:eastAsia="宋体" w:hAnsi="Helvetica" w:cs="Helvetica"/>
                <w:color w:val="333333"/>
                <w:kern w:val="0"/>
                <w:szCs w:val="21"/>
              </w:rPr>
              <w:t>亿元以下</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1</w:t>
            </w:r>
          </w:p>
        </w:tc>
      </w:tr>
      <w:tr w:rsidR="00E45F43" w:rsidRPr="00E45F43" w:rsidTr="00E45F4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1</w:t>
            </w:r>
            <w:r w:rsidRPr="00E45F43">
              <w:rPr>
                <w:rFonts w:ascii="Helvetica" w:eastAsia="宋体" w:hAnsi="Helvetica" w:cs="Helvetica"/>
                <w:color w:val="333333"/>
                <w:kern w:val="0"/>
                <w:szCs w:val="21"/>
              </w:rPr>
              <w:t>亿元以上（含）</w:t>
            </w:r>
            <w:r w:rsidRPr="00E45F43">
              <w:rPr>
                <w:rFonts w:ascii="Helvetica" w:eastAsia="宋体" w:hAnsi="Helvetica" w:cs="Helvetica"/>
                <w:color w:val="333333"/>
                <w:kern w:val="0"/>
                <w:szCs w:val="21"/>
              </w:rPr>
              <w:t>2</w:t>
            </w:r>
            <w:r w:rsidRPr="00E45F43">
              <w:rPr>
                <w:rFonts w:ascii="Helvetica" w:eastAsia="宋体" w:hAnsi="Helvetica" w:cs="Helvetica"/>
                <w:color w:val="333333"/>
                <w:kern w:val="0"/>
                <w:szCs w:val="21"/>
              </w:rPr>
              <w:t>亿元以下</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1.5</w:t>
            </w:r>
          </w:p>
        </w:tc>
      </w:tr>
      <w:tr w:rsidR="00E45F43" w:rsidRPr="00E45F43" w:rsidTr="00E45F4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2</w:t>
            </w:r>
            <w:r w:rsidRPr="00E45F43">
              <w:rPr>
                <w:rFonts w:ascii="Helvetica" w:eastAsia="宋体" w:hAnsi="Helvetica" w:cs="Helvetica"/>
                <w:color w:val="333333"/>
                <w:kern w:val="0"/>
                <w:szCs w:val="21"/>
              </w:rPr>
              <w:t>亿元以上（含）</w:t>
            </w:r>
            <w:r w:rsidRPr="00E45F43">
              <w:rPr>
                <w:rFonts w:ascii="Helvetica" w:eastAsia="宋体" w:hAnsi="Helvetica" w:cs="Helvetica"/>
                <w:color w:val="333333"/>
                <w:kern w:val="0"/>
                <w:szCs w:val="21"/>
              </w:rPr>
              <w:t>3</w:t>
            </w:r>
            <w:r w:rsidRPr="00E45F43">
              <w:rPr>
                <w:rFonts w:ascii="Helvetica" w:eastAsia="宋体" w:hAnsi="Helvetica" w:cs="Helvetica"/>
                <w:color w:val="333333"/>
                <w:kern w:val="0"/>
                <w:szCs w:val="21"/>
              </w:rPr>
              <w:t>亿元以下</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2</w:t>
            </w:r>
          </w:p>
        </w:tc>
      </w:tr>
      <w:tr w:rsidR="00E45F43" w:rsidRPr="00E45F43" w:rsidTr="00E45F4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line="300" w:lineRule="atLeast"/>
              <w:jc w:val="left"/>
              <w:rPr>
                <w:rFonts w:ascii="Helvetica" w:eastAsia="宋体" w:hAnsi="Helvetica" w:cs="Helvetica"/>
                <w:color w:val="333333"/>
                <w:kern w:val="0"/>
                <w:szCs w:val="21"/>
              </w:rPr>
            </w:pP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3</w:t>
            </w:r>
            <w:r w:rsidRPr="00E45F43">
              <w:rPr>
                <w:rFonts w:ascii="Helvetica" w:eastAsia="宋体" w:hAnsi="Helvetica" w:cs="Helvetica"/>
                <w:color w:val="333333"/>
                <w:kern w:val="0"/>
                <w:szCs w:val="21"/>
              </w:rPr>
              <w:t>亿元以上（含）</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5F43" w:rsidRPr="00E45F43" w:rsidRDefault="00E45F43" w:rsidP="00E45F43">
            <w:pPr>
              <w:widowControl/>
              <w:spacing w:after="150" w:line="378" w:lineRule="atLeast"/>
              <w:jc w:val="center"/>
              <w:rPr>
                <w:rFonts w:ascii="Helvetica" w:eastAsia="宋体" w:hAnsi="Helvetica" w:cs="Helvetica"/>
                <w:color w:val="333333"/>
                <w:kern w:val="0"/>
                <w:szCs w:val="21"/>
              </w:rPr>
            </w:pPr>
            <w:r w:rsidRPr="00E45F43">
              <w:rPr>
                <w:rFonts w:ascii="Helvetica" w:eastAsia="宋体" w:hAnsi="Helvetica" w:cs="Helvetica"/>
                <w:color w:val="333333"/>
                <w:kern w:val="0"/>
                <w:szCs w:val="21"/>
              </w:rPr>
              <w:t>2.5</w:t>
            </w:r>
          </w:p>
        </w:tc>
      </w:tr>
    </w:tbl>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第五条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扶持资金兑现。第四条所列产业项目用地扶持资金分三次兑现。即：项目正式动工且完成固定资产投资额的</w:t>
      </w:r>
      <w:r w:rsidRPr="00E45F43">
        <w:rPr>
          <w:rFonts w:ascii="Helvetica" w:eastAsia="宋体" w:hAnsi="Helvetica" w:cs="Helvetica"/>
          <w:color w:val="333333"/>
          <w:kern w:val="0"/>
          <w:szCs w:val="21"/>
        </w:rPr>
        <w:t>50</w:t>
      </w:r>
      <w:r w:rsidRPr="00E45F43">
        <w:rPr>
          <w:rFonts w:ascii="Helvetica" w:eastAsia="宋体" w:hAnsi="Helvetica" w:cs="Helvetica"/>
          <w:color w:val="333333"/>
          <w:kern w:val="0"/>
          <w:szCs w:val="21"/>
        </w:rPr>
        <w:t>﹪以上</w:t>
      </w:r>
      <w:r w:rsidRPr="00E45F43">
        <w:rPr>
          <w:rFonts w:ascii="Helvetica" w:eastAsia="宋体" w:hAnsi="Helvetica" w:cs="Helvetica"/>
          <w:color w:val="333333"/>
          <w:kern w:val="0"/>
          <w:szCs w:val="21"/>
        </w:rPr>
        <w:t>3</w:t>
      </w:r>
      <w:r w:rsidRPr="00E45F43">
        <w:rPr>
          <w:rFonts w:ascii="Helvetica" w:eastAsia="宋体" w:hAnsi="Helvetica" w:cs="Helvetica"/>
          <w:color w:val="333333"/>
          <w:kern w:val="0"/>
          <w:szCs w:val="21"/>
        </w:rPr>
        <w:t>个月内兑现</w:t>
      </w:r>
      <w:r w:rsidRPr="00E45F43">
        <w:rPr>
          <w:rFonts w:ascii="Helvetica" w:eastAsia="宋体" w:hAnsi="Helvetica" w:cs="Helvetica"/>
          <w:color w:val="333333"/>
          <w:kern w:val="0"/>
          <w:szCs w:val="21"/>
        </w:rPr>
        <w:t>30%</w:t>
      </w:r>
      <w:r w:rsidRPr="00E45F43">
        <w:rPr>
          <w:rFonts w:ascii="Helvetica" w:eastAsia="宋体" w:hAnsi="Helvetica" w:cs="Helvetica"/>
          <w:color w:val="333333"/>
          <w:kern w:val="0"/>
          <w:szCs w:val="21"/>
        </w:rPr>
        <w:t>，项目竣工后</w:t>
      </w:r>
      <w:r w:rsidRPr="00E45F43">
        <w:rPr>
          <w:rFonts w:ascii="Helvetica" w:eastAsia="宋体" w:hAnsi="Helvetica" w:cs="Helvetica"/>
          <w:color w:val="333333"/>
          <w:kern w:val="0"/>
          <w:szCs w:val="21"/>
        </w:rPr>
        <w:t>3</w:t>
      </w:r>
      <w:r w:rsidRPr="00E45F43">
        <w:rPr>
          <w:rFonts w:ascii="Helvetica" w:eastAsia="宋体" w:hAnsi="Helvetica" w:cs="Helvetica"/>
          <w:color w:val="333333"/>
          <w:kern w:val="0"/>
          <w:szCs w:val="21"/>
        </w:rPr>
        <w:t>个月内兑现</w:t>
      </w:r>
      <w:r w:rsidRPr="00E45F43">
        <w:rPr>
          <w:rFonts w:ascii="Helvetica" w:eastAsia="宋体" w:hAnsi="Helvetica" w:cs="Helvetica"/>
          <w:color w:val="333333"/>
          <w:kern w:val="0"/>
          <w:szCs w:val="21"/>
        </w:rPr>
        <w:t>40%</w:t>
      </w:r>
      <w:r w:rsidRPr="00E45F43">
        <w:rPr>
          <w:rFonts w:ascii="Helvetica" w:eastAsia="宋体" w:hAnsi="Helvetica" w:cs="Helvetica"/>
          <w:color w:val="333333"/>
          <w:kern w:val="0"/>
          <w:szCs w:val="21"/>
        </w:rPr>
        <w:t>，项目投产经营并产生税收后</w:t>
      </w:r>
      <w:r w:rsidRPr="00E45F43">
        <w:rPr>
          <w:rFonts w:ascii="Helvetica" w:eastAsia="宋体" w:hAnsi="Helvetica" w:cs="Helvetica"/>
          <w:color w:val="333333"/>
          <w:kern w:val="0"/>
          <w:szCs w:val="21"/>
        </w:rPr>
        <w:t>1</w:t>
      </w:r>
      <w:r w:rsidRPr="00E45F43">
        <w:rPr>
          <w:rFonts w:ascii="Helvetica" w:eastAsia="宋体" w:hAnsi="Helvetica" w:cs="Helvetica"/>
          <w:color w:val="333333"/>
          <w:kern w:val="0"/>
          <w:szCs w:val="21"/>
        </w:rPr>
        <w:t>年内兑现</w:t>
      </w:r>
      <w:r w:rsidRPr="00E45F43">
        <w:rPr>
          <w:rFonts w:ascii="Helvetica" w:eastAsia="宋体" w:hAnsi="Helvetica" w:cs="Helvetica"/>
          <w:color w:val="333333"/>
          <w:kern w:val="0"/>
          <w:szCs w:val="21"/>
        </w:rPr>
        <w:t>30%</w:t>
      </w:r>
      <w:r w:rsidRPr="00E45F43">
        <w:rPr>
          <w:rFonts w:ascii="Helvetica" w:eastAsia="宋体" w:hAnsi="Helvetica" w:cs="Helvetica"/>
          <w:color w:val="333333"/>
          <w:kern w:val="0"/>
          <w:szCs w:val="21"/>
        </w:rPr>
        <w:t>。</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第三章</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项目税费优惠</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第六条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到盈江县投资的外来投资企业，凡符合国家、云南省以及西部大开发税收优惠政策规定的，税务部门提供优质高效服务，及时落实兑现。</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一、凡</w:t>
      </w:r>
      <w:r w:rsidRPr="00E45F43">
        <w:rPr>
          <w:rFonts w:ascii="Helvetica" w:eastAsia="宋体" w:hAnsi="Helvetica" w:cs="Helvetica"/>
          <w:color w:val="333333"/>
          <w:kern w:val="0"/>
          <w:szCs w:val="21"/>
        </w:rPr>
        <w:t>2020</w:t>
      </w:r>
      <w:r w:rsidRPr="00E45F43">
        <w:rPr>
          <w:rFonts w:ascii="Helvetica" w:eastAsia="宋体" w:hAnsi="Helvetica" w:cs="Helvetica"/>
          <w:color w:val="333333"/>
          <w:kern w:val="0"/>
          <w:szCs w:val="21"/>
        </w:rPr>
        <w:t>年</w:t>
      </w:r>
      <w:r w:rsidRPr="00E45F43">
        <w:rPr>
          <w:rFonts w:ascii="Helvetica" w:eastAsia="宋体" w:hAnsi="Helvetica" w:cs="Helvetica"/>
          <w:color w:val="333333"/>
          <w:kern w:val="0"/>
          <w:szCs w:val="21"/>
        </w:rPr>
        <w:t>12</w:t>
      </w:r>
      <w:r w:rsidRPr="00E45F43">
        <w:rPr>
          <w:rFonts w:ascii="Helvetica" w:eastAsia="宋体" w:hAnsi="Helvetica" w:cs="Helvetica"/>
          <w:color w:val="333333"/>
          <w:kern w:val="0"/>
          <w:szCs w:val="21"/>
        </w:rPr>
        <w:t>月</w:t>
      </w:r>
      <w:r w:rsidRPr="00E45F43">
        <w:rPr>
          <w:rFonts w:ascii="Helvetica" w:eastAsia="宋体" w:hAnsi="Helvetica" w:cs="Helvetica"/>
          <w:color w:val="333333"/>
          <w:kern w:val="0"/>
          <w:szCs w:val="21"/>
        </w:rPr>
        <w:t>31</w:t>
      </w:r>
      <w:r w:rsidRPr="00E45F43">
        <w:rPr>
          <w:rFonts w:ascii="Helvetica" w:eastAsia="宋体" w:hAnsi="Helvetica" w:cs="Helvetica"/>
          <w:color w:val="333333"/>
          <w:kern w:val="0"/>
          <w:szCs w:val="21"/>
        </w:rPr>
        <w:t>日之前，投资《西部地区鼓励类产业目录》中规定的产业项目为主营业务，且主营业务收入占企业收入总额</w:t>
      </w:r>
      <w:r w:rsidRPr="00E45F43">
        <w:rPr>
          <w:rFonts w:ascii="Helvetica" w:eastAsia="宋体" w:hAnsi="Helvetica" w:cs="Helvetica"/>
          <w:color w:val="333333"/>
          <w:kern w:val="0"/>
          <w:szCs w:val="21"/>
        </w:rPr>
        <w:t>70%</w:t>
      </w:r>
      <w:r w:rsidRPr="00E45F43">
        <w:rPr>
          <w:rFonts w:ascii="Helvetica" w:eastAsia="宋体" w:hAnsi="Helvetica" w:cs="Helvetica"/>
          <w:color w:val="333333"/>
          <w:kern w:val="0"/>
          <w:szCs w:val="21"/>
        </w:rPr>
        <w:t>以上的企业，企业所得税减按</w:t>
      </w:r>
      <w:r w:rsidRPr="00E45F43">
        <w:rPr>
          <w:rFonts w:ascii="Helvetica" w:eastAsia="宋体" w:hAnsi="Helvetica" w:cs="Helvetica"/>
          <w:color w:val="333333"/>
          <w:kern w:val="0"/>
          <w:szCs w:val="21"/>
        </w:rPr>
        <w:t>15%</w:t>
      </w:r>
      <w:r w:rsidRPr="00E45F43">
        <w:rPr>
          <w:rFonts w:ascii="Helvetica" w:eastAsia="宋体" w:hAnsi="Helvetica" w:cs="Helvetica"/>
          <w:color w:val="333333"/>
          <w:kern w:val="0"/>
          <w:szCs w:val="21"/>
        </w:rPr>
        <w:t>的税率征收。</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二、凡</w:t>
      </w:r>
      <w:r w:rsidRPr="00E45F43">
        <w:rPr>
          <w:rFonts w:ascii="Helvetica" w:eastAsia="宋体" w:hAnsi="Helvetica" w:cs="Helvetica"/>
          <w:color w:val="333333"/>
          <w:kern w:val="0"/>
          <w:szCs w:val="21"/>
        </w:rPr>
        <w:t>2017</w:t>
      </w:r>
      <w:r w:rsidRPr="00E45F43">
        <w:rPr>
          <w:rFonts w:ascii="Helvetica" w:eastAsia="宋体" w:hAnsi="Helvetica" w:cs="Helvetica"/>
          <w:color w:val="333333"/>
          <w:kern w:val="0"/>
          <w:szCs w:val="21"/>
        </w:rPr>
        <w:t>年</w:t>
      </w:r>
      <w:r w:rsidRPr="00E45F43">
        <w:rPr>
          <w:rFonts w:ascii="Helvetica" w:eastAsia="宋体" w:hAnsi="Helvetica" w:cs="Helvetica"/>
          <w:color w:val="333333"/>
          <w:kern w:val="0"/>
          <w:szCs w:val="21"/>
        </w:rPr>
        <w:t>12</w:t>
      </w:r>
      <w:r w:rsidRPr="00E45F43">
        <w:rPr>
          <w:rFonts w:ascii="Helvetica" w:eastAsia="宋体" w:hAnsi="Helvetica" w:cs="Helvetica"/>
          <w:color w:val="333333"/>
          <w:kern w:val="0"/>
          <w:szCs w:val="21"/>
        </w:rPr>
        <w:t>月</w:t>
      </w:r>
      <w:r w:rsidRPr="00E45F43">
        <w:rPr>
          <w:rFonts w:ascii="Helvetica" w:eastAsia="宋体" w:hAnsi="Helvetica" w:cs="Helvetica"/>
          <w:color w:val="333333"/>
          <w:kern w:val="0"/>
          <w:szCs w:val="21"/>
        </w:rPr>
        <w:t>31</w:t>
      </w:r>
      <w:r w:rsidRPr="00E45F43">
        <w:rPr>
          <w:rFonts w:ascii="Helvetica" w:eastAsia="宋体" w:hAnsi="Helvetica" w:cs="Helvetica"/>
          <w:color w:val="333333"/>
          <w:kern w:val="0"/>
          <w:szCs w:val="21"/>
        </w:rPr>
        <w:t>日之前，年应纳税所得额低于</w:t>
      </w:r>
      <w:r w:rsidRPr="00E45F43">
        <w:rPr>
          <w:rFonts w:ascii="Helvetica" w:eastAsia="宋体" w:hAnsi="Helvetica" w:cs="Helvetica"/>
          <w:color w:val="333333"/>
          <w:kern w:val="0"/>
          <w:szCs w:val="21"/>
        </w:rPr>
        <w:t>30</w:t>
      </w:r>
      <w:r w:rsidRPr="00E45F43">
        <w:rPr>
          <w:rFonts w:ascii="Helvetica" w:eastAsia="宋体" w:hAnsi="Helvetica" w:cs="Helvetica"/>
          <w:color w:val="333333"/>
          <w:kern w:val="0"/>
          <w:szCs w:val="21"/>
        </w:rPr>
        <w:t>万元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含</w:t>
      </w:r>
      <w:r w:rsidRPr="00E45F43">
        <w:rPr>
          <w:rFonts w:ascii="Helvetica" w:eastAsia="宋体" w:hAnsi="Helvetica" w:cs="Helvetica"/>
          <w:color w:val="333333"/>
          <w:kern w:val="0"/>
          <w:szCs w:val="21"/>
        </w:rPr>
        <w:t>30</w:t>
      </w:r>
      <w:r w:rsidRPr="00E45F43">
        <w:rPr>
          <w:rFonts w:ascii="Helvetica" w:eastAsia="宋体" w:hAnsi="Helvetica" w:cs="Helvetica"/>
          <w:color w:val="333333"/>
          <w:kern w:val="0"/>
          <w:szCs w:val="21"/>
        </w:rPr>
        <w:t>万</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的小型微利企业，其所得减按</w:t>
      </w:r>
      <w:r w:rsidRPr="00E45F43">
        <w:rPr>
          <w:rFonts w:ascii="Helvetica" w:eastAsia="宋体" w:hAnsi="Helvetica" w:cs="Helvetica"/>
          <w:color w:val="333333"/>
          <w:kern w:val="0"/>
          <w:szCs w:val="21"/>
        </w:rPr>
        <w:t>50%</w:t>
      </w:r>
      <w:r w:rsidRPr="00E45F43">
        <w:rPr>
          <w:rFonts w:ascii="Helvetica" w:eastAsia="宋体" w:hAnsi="Helvetica" w:cs="Helvetica"/>
          <w:color w:val="333333"/>
          <w:kern w:val="0"/>
          <w:szCs w:val="21"/>
        </w:rPr>
        <w:t>计入应纳税所得额，按</w:t>
      </w:r>
      <w:r w:rsidRPr="00E45F43">
        <w:rPr>
          <w:rFonts w:ascii="Helvetica" w:eastAsia="宋体" w:hAnsi="Helvetica" w:cs="Helvetica"/>
          <w:color w:val="333333"/>
          <w:kern w:val="0"/>
          <w:szCs w:val="21"/>
        </w:rPr>
        <w:t>20%</w:t>
      </w:r>
      <w:r w:rsidRPr="00E45F43">
        <w:rPr>
          <w:rFonts w:ascii="Helvetica" w:eastAsia="宋体" w:hAnsi="Helvetica" w:cs="Helvetica"/>
          <w:color w:val="333333"/>
          <w:kern w:val="0"/>
          <w:szCs w:val="21"/>
        </w:rPr>
        <w:t>的税率征收企业所得税。</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三、凡投资从事农林木、中药材种植，农作物新品种选育、林木培育、林产品采集、灌溉、农产品初加工、林产品初加工、药用植物初加工、畜禽类初加工、兽医、农技推广、农机作业和维修、等农、林、牧、渔业服务项目免征企业所得税。</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四、投资企业取得省、自治区、直辖市、计划单列市高新技术认定管理机构颁发的高新技术企业证书的，可持</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高新技术企业证书</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及其复印件和有关资料，向主管税务机关申请办理减免税手续，减按</w:t>
      </w:r>
      <w:r w:rsidRPr="00E45F43">
        <w:rPr>
          <w:rFonts w:ascii="Helvetica" w:eastAsia="宋体" w:hAnsi="Helvetica" w:cs="Helvetica"/>
          <w:color w:val="333333"/>
          <w:kern w:val="0"/>
          <w:szCs w:val="21"/>
        </w:rPr>
        <w:t>15%</w:t>
      </w:r>
      <w:r w:rsidRPr="00E45F43">
        <w:rPr>
          <w:rFonts w:ascii="Helvetica" w:eastAsia="宋体" w:hAnsi="Helvetica" w:cs="Helvetica"/>
          <w:color w:val="333333"/>
          <w:kern w:val="0"/>
          <w:szCs w:val="21"/>
        </w:rPr>
        <w:t>税率征收企业所得税。</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五、投资项目符合一、二、三、四款所列两款以上优惠政策的，择其优惠额度最高者兑现，不得累计优惠。</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第七条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外来投资企业项目建成后，除享受第六条一、二、三、四款所列税收减免外，自本办法实施之日起五年内所缴纳的增值税、消费税、营业税和企业所得税、个人所得税县级地方财政公共预算收入留成部分，按照其贡献给予奖励：年缴税总额</w:t>
      </w:r>
      <w:r w:rsidRPr="00E45F43">
        <w:rPr>
          <w:rFonts w:ascii="Helvetica" w:eastAsia="宋体" w:hAnsi="Helvetica" w:cs="Helvetica"/>
          <w:color w:val="333333"/>
          <w:kern w:val="0"/>
          <w:szCs w:val="21"/>
        </w:rPr>
        <w:t>500</w:t>
      </w:r>
      <w:r w:rsidRPr="00E45F43">
        <w:rPr>
          <w:rFonts w:ascii="Helvetica" w:eastAsia="宋体" w:hAnsi="Helvetica" w:cs="Helvetica"/>
          <w:color w:val="333333"/>
          <w:kern w:val="0"/>
          <w:szCs w:val="21"/>
        </w:rPr>
        <w:t>万元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含</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以上的，逐年按</w:t>
      </w:r>
      <w:r w:rsidRPr="00E45F43">
        <w:rPr>
          <w:rFonts w:ascii="Helvetica" w:eastAsia="宋体" w:hAnsi="Helvetica" w:cs="Helvetica"/>
          <w:color w:val="333333"/>
          <w:kern w:val="0"/>
          <w:szCs w:val="21"/>
        </w:rPr>
        <w:t>70%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60%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50%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40%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30%</w:t>
      </w:r>
      <w:r w:rsidRPr="00E45F43">
        <w:rPr>
          <w:rFonts w:ascii="Helvetica" w:eastAsia="宋体" w:hAnsi="Helvetica" w:cs="Helvetica"/>
          <w:color w:val="333333"/>
          <w:kern w:val="0"/>
          <w:szCs w:val="21"/>
        </w:rPr>
        <w:t>奖励</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年缴税总额</w:t>
      </w:r>
      <w:r w:rsidRPr="00E45F43">
        <w:rPr>
          <w:rFonts w:ascii="Helvetica" w:eastAsia="宋体" w:hAnsi="Helvetica" w:cs="Helvetica"/>
          <w:color w:val="333333"/>
          <w:kern w:val="0"/>
          <w:szCs w:val="21"/>
        </w:rPr>
        <w:t>200</w:t>
      </w:r>
      <w:r w:rsidRPr="00E45F43">
        <w:rPr>
          <w:rFonts w:ascii="Helvetica" w:eastAsia="宋体" w:hAnsi="Helvetica" w:cs="Helvetica"/>
          <w:color w:val="333333"/>
          <w:kern w:val="0"/>
          <w:szCs w:val="21"/>
        </w:rPr>
        <w:t>万元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含</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以上不足</w:t>
      </w:r>
      <w:r w:rsidRPr="00E45F43">
        <w:rPr>
          <w:rFonts w:ascii="Helvetica" w:eastAsia="宋体" w:hAnsi="Helvetica" w:cs="Helvetica"/>
          <w:color w:val="333333"/>
          <w:kern w:val="0"/>
          <w:szCs w:val="21"/>
        </w:rPr>
        <w:t>500</w:t>
      </w:r>
      <w:r w:rsidRPr="00E45F43">
        <w:rPr>
          <w:rFonts w:ascii="Helvetica" w:eastAsia="宋体" w:hAnsi="Helvetica" w:cs="Helvetica"/>
          <w:color w:val="333333"/>
          <w:kern w:val="0"/>
          <w:szCs w:val="21"/>
        </w:rPr>
        <w:t>万元的按</w:t>
      </w:r>
      <w:r w:rsidRPr="00E45F43">
        <w:rPr>
          <w:rFonts w:ascii="Helvetica" w:eastAsia="宋体" w:hAnsi="Helvetica" w:cs="Helvetica"/>
          <w:color w:val="333333"/>
          <w:kern w:val="0"/>
          <w:szCs w:val="21"/>
        </w:rPr>
        <w:t>60%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50%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40%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30%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20%</w:t>
      </w:r>
      <w:r w:rsidRPr="00E45F43">
        <w:rPr>
          <w:rFonts w:ascii="Helvetica" w:eastAsia="宋体" w:hAnsi="Helvetica" w:cs="Helvetica"/>
          <w:color w:val="333333"/>
          <w:kern w:val="0"/>
          <w:szCs w:val="21"/>
        </w:rPr>
        <w:t>奖励</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年缴税总额</w:t>
      </w:r>
      <w:r w:rsidRPr="00E45F43">
        <w:rPr>
          <w:rFonts w:ascii="Helvetica" w:eastAsia="宋体" w:hAnsi="Helvetica" w:cs="Helvetica"/>
          <w:color w:val="333333"/>
          <w:kern w:val="0"/>
          <w:szCs w:val="21"/>
        </w:rPr>
        <w:t>100</w:t>
      </w:r>
      <w:r w:rsidRPr="00E45F43">
        <w:rPr>
          <w:rFonts w:ascii="Helvetica" w:eastAsia="宋体" w:hAnsi="Helvetica" w:cs="Helvetica"/>
          <w:color w:val="333333"/>
          <w:kern w:val="0"/>
          <w:szCs w:val="21"/>
        </w:rPr>
        <w:t>万元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含</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以上不足</w:t>
      </w:r>
      <w:r w:rsidRPr="00E45F43">
        <w:rPr>
          <w:rFonts w:ascii="Helvetica" w:eastAsia="宋体" w:hAnsi="Helvetica" w:cs="Helvetica"/>
          <w:color w:val="333333"/>
          <w:kern w:val="0"/>
          <w:szCs w:val="21"/>
        </w:rPr>
        <w:t>200</w:t>
      </w:r>
      <w:r w:rsidRPr="00E45F43">
        <w:rPr>
          <w:rFonts w:ascii="Helvetica" w:eastAsia="宋体" w:hAnsi="Helvetica" w:cs="Helvetica"/>
          <w:color w:val="333333"/>
          <w:kern w:val="0"/>
          <w:szCs w:val="21"/>
        </w:rPr>
        <w:t>万元的按</w:t>
      </w:r>
      <w:r w:rsidRPr="00E45F43">
        <w:rPr>
          <w:rFonts w:ascii="Helvetica" w:eastAsia="宋体" w:hAnsi="Helvetica" w:cs="Helvetica"/>
          <w:color w:val="333333"/>
          <w:kern w:val="0"/>
          <w:szCs w:val="21"/>
        </w:rPr>
        <w:t>50%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40%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30%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20%</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10%</w:t>
      </w:r>
      <w:r w:rsidRPr="00E45F43">
        <w:rPr>
          <w:rFonts w:ascii="Helvetica" w:eastAsia="宋体" w:hAnsi="Helvetica" w:cs="Helvetica"/>
          <w:color w:val="333333"/>
          <w:kern w:val="0"/>
          <w:szCs w:val="21"/>
        </w:rPr>
        <w:t>奖励</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年缴税总额</w:t>
      </w:r>
      <w:r w:rsidRPr="00E45F43">
        <w:rPr>
          <w:rFonts w:ascii="Helvetica" w:eastAsia="宋体" w:hAnsi="Helvetica" w:cs="Helvetica"/>
          <w:color w:val="333333"/>
          <w:kern w:val="0"/>
          <w:szCs w:val="21"/>
        </w:rPr>
        <w:t>100</w:t>
      </w:r>
      <w:r w:rsidRPr="00E45F43">
        <w:rPr>
          <w:rFonts w:ascii="Helvetica" w:eastAsia="宋体" w:hAnsi="Helvetica" w:cs="Helvetica"/>
          <w:color w:val="333333"/>
          <w:kern w:val="0"/>
          <w:szCs w:val="21"/>
        </w:rPr>
        <w:t>万元以下的不予奖励。</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第八条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费用减免。国家、省、</w:t>
      </w:r>
      <w:proofErr w:type="gramStart"/>
      <w:r w:rsidRPr="00E45F43">
        <w:rPr>
          <w:rFonts w:ascii="Helvetica" w:eastAsia="宋体" w:hAnsi="Helvetica" w:cs="Helvetica"/>
          <w:color w:val="333333"/>
          <w:kern w:val="0"/>
          <w:szCs w:val="21"/>
        </w:rPr>
        <w:t>州明确</w:t>
      </w:r>
      <w:proofErr w:type="gramEnd"/>
      <w:r w:rsidRPr="00E45F43">
        <w:rPr>
          <w:rFonts w:ascii="Helvetica" w:eastAsia="宋体" w:hAnsi="Helvetica" w:cs="Helvetica"/>
          <w:color w:val="333333"/>
          <w:kern w:val="0"/>
          <w:szCs w:val="21"/>
        </w:rPr>
        <w:t>规定的行政事业性收费项目，一律按最低标准征收，已明令禁止的收费项目，任何单位和个人不得以任何理由收取</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县内自定的收费项目，一律免收。</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第四章</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优化服务措施</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lastRenderedPageBreak/>
        <w:t xml:space="preserve">　　第九条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实行招商引资项目并联审批制。所有招商引资项目按照盈江县政务服务管理局关于招商引资项目审批流程进行审批。</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一、咨询会商。政务中心组织有关审批部门对项目进行咨询、会商，确定并联审批工作方案。一次性告知项目审批所需文件资料，指导项目业主开展前期工作。</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二、申报接件。盈江县政务中心接到符合要求的项目报件后，于</w:t>
      </w:r>
      <w:r w:rsidRPr="00E45F43">
        <w:rPr>
          <w:rFonts w:ascii="Helvetica" w:eastAsia="宋体" w:hAnsi="Helvetica" w:cs="Helvetica"/>
          <w:color w:val="333333"/>
          <w:kern w:val="0"/>
          <w:szCs w:val="21"/>
        </w:rPr>
        <w:t>5</w:t>
      </w:r>
      <w:r w:rsidRPr="00E45F43">
        <w:rPr>
          <w:rFonts w:ascii="Helvetica" w:eastAsia="宋体" w:hAnsi="Helvetica" w:cs="Helvetica"/>
          <w:color w:val="333333"/>
          <w:kern w:val="0"/>
          <w:szCs w:val="21"/>
        </w:rPr>
        <w:t>个工作日内出具《重点投资项目并联审批通知单》。项目业主应当提供完整的申报资料，并对资料真实性负责。</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三、分送受理。若申报资料不完善，分送有关职能部门协助项目业主补充完善，补充资料的时间不计</w:t>
      </w:r>
      <w:proofErr w:type="gramStart"/>
      <w:r w:rsidRPr="00E45F43">
        <w:rPr>
          <w:rFonts w:ascii="Helvetica" w:eastAsia="宋体" w:hAnsi="Helvetica" w:cs="Helvetica"/>
          <w:color w:val="333333"/>
          <w:kern w:val="0"/>
          <w:szCs w:val="21"/>
        </w:rPr>
        <w:t>入行政</w:t>
      </w:r>
      <w:proofErr w:type="gramEnd"/>
      <w:r w:rsidRPr="00E45F43">
        <w:rPr>
          <w:rFonts w:ascii="Helvetica" w:eastAsia="宋体" w:hAnsi="Helvetica" w:cs="Helvetica"/>
          <w:color w:val="333333"/>
          <w:kern w:val="0"/>
          <w:szCs w:val="21"/>
        </w:rPr>
        <w:t>审批承诺时限。对受理的项目，以联审会议</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明确审批程序、办理时限等要求，并形成会议纪要。</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四、同步审批。有关审批窗口根据联审会议纪要，同步组织开展审批工作。若审批事项需征求其它部门意见的，牵头审批部门应当在审批前主动征求意见，并设定回复时限。被征求意见部门不在规定的时限内回复意见，视为同意。需要下级政府职能部门出具转报或初审意见的，应当办结后，再进入县服务中心审批。</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五、限时办结。各阶段并联审批事项必须在承诺时限内</w:t>
      </w:r>
      <w:proofErr w:type="gramStart"/>
      <w:r w:rsidRPr="00E45F43">
        <w:rPr>
          <w:rFonts w:ascii="Helvetica" w:eastAsia="宋体" w:hAnsi="Helvetica" w:cs="Helvetica"/>
          <w:color w:val="333333"/>
          <w:kern w:val="0"/>
          <w:szCs w:val="21"/>
        </w:rPr>
        <w:t>作出</w:t>
      </w:r>
      <w:proofErr w:type="gramEnd"/>
      <w:r w:rsidRPr="00E45F43">
        <w:rPr>
          <w:rFonts w:ascii="Helvetica" w:eastAsia="宋体" w:hAnsi="Helvetica" w:cs="Helvetica"/>
          <w:color w:val="333333"/>
          <w:kern w:val="0"/>
          <w:szCs w:val="21"/>
        </w:rPr>
        <w:t>审批决定并送达服务中心</w:t>
      </w:r>
      <w:proofErr w:type="gramStart"/>
      <w:r w:rsidRPr="00E45F43">
        <w:rPr>
          <w:rFonts w:ascii="Helvetica" w:eastAsia="宋体" w:hAnsi="Helvetica" w:cs="Helvetica"/>
          <w:color w:val="333333"/>
          <w:kern w:val="0"/>
          <w:szCs w:val="21"/>
        </w:rPr>
        <w:t>咨询接件窗口</w:t>
      </w:r>
      <w:proofErr w:type="gramEnd"/>
      <w:r w:rsidRPr="00E45F43">
        <w:rPr>
          <w:rFonts w:ascii="Helvetica" w:eastAsia="宋体" w:hAnsi="Helvetica" w:cs="Helvetica"/>
          <w:color w:val="333333"/>
          <w:kern w:val="0"/>
          <w:szCs w:val="21"/>
        </w:rPr>
        <w:t>，通知项目业主。</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审批部门在规定时限内没有出具审批意见，又无合法理由的，视为同意。在超过行政审批承诺时限第</w:t>
      </w:r>
      <w:r w:rsidRPr="00E45F43">
        <w:rPr>
          <w:rFonts w:ascii="Helvetica" w:eastAsia="宋体" w:hAnsi="Helvetica" w:cs="Helvetica"/>
          <w:color w:val="333333"/>
          <w:kern w:val="0"/>
          <w:szCs w:val="21"/>
        </w:rPr>
        <w:t>2</w:t>
      </w:r>
      <w:r w:rsidRPr="00E45F43">
        <w:rPr>
          <w:rFonts w:ascii="Helvetica" w:eastAsia="宋体" w:hAnsi="Helvetica" w:cs="Helvetica"/>
          <w:color w:val="333333"/>
          <w:kern w:val="0"/>
          <w:szCs w:val="21"/>
        </w:rPr>
        <w:t>个工作日，由服务中心出具《超时默认通知单》，并送达其他审批部门及项目业主。由此带来的法律后果依法由</w:t>
      </w:r>
      <w:proofErr w:type="gramStart"/>
      <w:r w:rsidRPr="00E45F43">
        <w:rPr>
          <w:rFonts w:ascii="Helvetica" w:eastAsia="宋体" w:hAnsi="Helvetica" w:cs="Helvetica"/>
          <w:color w:val="333333"/>
          <w:kern w:val="0"/>
          <w:szCs w:val="21"/>
        </w:rPr>
        <w:t>超时审批</w:t>
      </w:r>
      <w:proofErr w:type="gramEnd"/>
      <w:r w:rsidRPr="00E45F43">
        <w:rPr>
          <w:rFonts w:ascii="Helvetica" w:eastAsia="宋体" w:hAnsi="Helvetica" w:cs="Helvetica"/>
          <w:color w:val="333333"/>
          <w:kern w:val="0"/>
          <w:szCs w:val="21"/>
        </w:rPr>
        <w:t>的部门承担。</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第十条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实行招商引资项目代办制：</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一、代办范围。</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盈江县域内，符合产业导向，投资额在</w:t>
      </w:r>
      <w:r w:rsidRPr="00E45F43">
        <w:rPr>
          <w:rFonts w:ascii="Helvetica" w:eastAsia="宋体" w:hAnsi="Helvetica" w:cs="Helvetica"/>
          <w:color w:val="333333"/>
          <w:kern w:val="0"/>
          <w:szCs w:val="21"/>
        </w:rPr>
        <w:t>1</w:t>
      </w:r>
      <w:r w:rsidRPr="00E45F43">
        <w:rPr>
          <w:rFonts w:ascii="Helvetica" w:eastAsia="宋体" w:hAnsi="Helvetica" w:cs="Helvetica"/>
          <w:color w:val="333333"/>
          <w:kern w:val="0"/>
          <w:szCs w:val="21"/>
        </w:rPr>
        <w:t>亿元以上的生产性项目、高新技术企业、外商投资项目及各级政府确定的重点项目。</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二、代办内容。</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工业项目从立项到竣工验收直至投产全过程的行政审批服务事项</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商业项目从企业名称预登记到项目通过竣工验收、核准直至正式</w:t>
      </w:r>
      <w:proofErr w:type="gramStart"/>
      <w:r w:rsidRPr="00E45F43">
        <w:rPr>
          <w:rFonts w:ascii="Helvetica" w:eastAsia="宋体" w:hAnsi="Helvetica" w:cs="Helvetica"/>
          <w:color w:val="333333"/>
          <w:kern w:val="0"/>
          <w:szCs w:val="21"/>
        </w:rPr>
        <w:t>营业全</w:t>
      </w:r>
      <w:proofErr w:type="gramEnd"/>
      <w:r w:rsidRPr="00E45F43">
        <w:rPr>
          <w:rFonts w:ascii="Helvetica" w:eastAsia="宋体" w:hAnsi="Helvetica" w:cs="Helvetica"/>
          <w:color w:val="333333"/>
          <w:kern w:val="0"/>
          <w:szCs w:val="21"/>
        </w:rPr>
        <w:t>过程的行政审批服务事项。也可根据投资者意愿予以全过程代办或部分代办。</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三、代办模式。</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w:t>
      </w:r>
      <w:proofErr w:type="gramStart"/>
      <w:r w:rsidRPr="00E45F43">
        <w:rPr>
          <w:rFonts w:ascii="Helvetica" w:eastAsia="宋体" w:hAnsi="Helvetica" w:cs="Helvetica"/>
          <w:color w:val="333333"/>
          <w:kern w:val="0"/>
          <w:szCs w:val="21"/>
        </w:rPr>
        <w:t>一</w:t>
      </w:r>
      <w:proofErr w:type="gramEnd"/>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一口受理，分工负责</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重点项目审批实行</w:t>
      </w:r>
      <w:r w:rsidRPr="00E45F43">
        <w:rPr>
          <w:rFonts w:ascii="Helvetica" w:eastAsia="宋体" w:hAnsi="Helvetica" w:cs="Helvetica"/>
          <w:color w:val="333333"/>
          <w:kern w:val="0"/>
          <w:szCs w:val="21"/>
        </w:rPr>
        <w:t>“3+1”</w:t>
      </w:r>
      <w:r w:rsidRPr="00E45F43">
        <w:rPr>
          <w:rFonts w:ascii="Helvetica" w:eastAsia="宋体" w:hAnsi="Helvetica" w:cs="Helvetica"/>
          <w:color w:val="333333"/>
          <w:kern w:val="0"/>
          <w:szCs w:val="21"/>
        </w:rPr>
        <w:t>分段代办，</w:t>
      </w:r>
      <w:r w:rsidRPr="00E45F43">
        <w:rPr>
          <w:rFonts w:ascii="Helvetica" w:eastAsia="宋体" w:hAnsi="Helvetica" w:cs="Helvetica"/>
          <w:color w:val="333333"/>
          <w:kern w:val="0"/>
          <w:szCs w:val="21"/>
        </w:rPr>
        <w:t>“3”</w:t>
      </w:r>
      <w:r w:rsidRPr="00E45F43">
        <w:rPr>
          <w:rFonts w:ascii="Helvetica" w:eastAsia="宋体" w:hAnsi="Helvetica" w:cs="Helvetica"/>
          <w:color w:val="333333"/>
          <w:kern w:val="0"/>
          <w:szCs w:val="21"/>
        </w:rPr>
        <w:t>即由项目生成、规划许可、建设验收三个阶段的项目主管部门分别牵头代办，</w:t>
      </w:r>
      <w:r w:rsidRPr="00E45F43">
        <w:rPr>
          <w:rFonts w:ascii="Helvetica" w:eastAsia="宋体" w:hAnsi="Helvetica" w:cs="Helvetica"/>
          <w:color w:val="333333"/>
          <w:kern w:val="0"/>
          <w:szCs w:val="21"/>
        </w:rPr>
        <w:t xml:space="preserve"> “1”</w:t>
      </w:r>
      <w:r w:rsidRPr="00E45F43">
        <w:rPr>
          <w:rFonts w:ascii="Helvetica" w:eastAsia="宋体" w:hAnsi="Helvetica" w:cs="Helvetica"/>
          <w:color w:val="333333"/>
          <w:kern w:val="0"/>
          <w:szCs w:val="21"/>
        </w:rPr>
        <w:t>即由县委督查室、县政府督查室和县监察局全程监察、督办。</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二</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全程督导，协调联动</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lastRenderedPageBreak/>
        <w:t xml:space="preserve">　　领导小组办公室负责重点项目全程代办的总协调，将项目进展情况</w:t>
      </w:r>
      <w:proofErr w:type="gramStart"/>
      <w:r w:rsidRPr="00E45F43">
        <w:rPr>
          <w:rFonts w:ascii="Helvetica" w:eastAsia="宋体" w:hAnsi="Helvetica" w:cs="Helvetica"/>
          <w:color w:val="333333"/>
          <w:kern w:val="0"/>
          <w:szCs w:val="21"/>
        </w:rPr>
        <w:t>月报县</w:t>
      </w:r>
      <w:proofErr w:type="gramEnd"/>
      <w:r w:rsidRPr="00E45F43">
        <w:rPr>
          <w:rFonts w:ascii="Helvetica" w:eastAsia="宋体" w:hAnsi="Helvetica" w:cs="Helvetica"/>
          <w:color w:val="333333"/>
          <w:kern w:val="0"/>
          <w:szCs w:val="21"/>
        </w:rPr>
        <w:t>重点项目领导小组。</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三</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明确责任，限时办结</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为减轻投资企业前期办证负担，确保项目快速落地，各审批服务单位都要明确</w:t>
      </w:r>
      <w:proofErr w:type="gramStart"/>
      <w:r w:rsidRPr="00E45F43">
        <w:rPr>
          <w:rFonts w:ascii="Helvetica" w:eastAsia="宋体" w:hAnsi="Helvetica" w:cs="Helvetica"/>
          <w:color w:val="333333"/>
          <w:kern w:val="0"/>
          <w:szCs w:val="21"/>
        </w:rPr>
        <w:t>一</w:t>
      </w:r>
      <w:proofErr w:type="gramEnd"/>
      <w:r w:rsidRPr="00E45F43">
        <w:rPr>
          <w:rFonts w:ascii="Helvetica" w:eastAsia="宋体" w:hAnsi="Helvetica" w:cs="Helvetica"/>
          <w:color w:val="333333"/>
          <w:kern w:val="0"/>
          <w:szCs w:val="21"/>
        </w:rPr>
        <w:t>名分管领导和一名代办员，为项目</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一对一全程代办</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服务人员及时办结代办事宜。</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第十一条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实行一个重点招商项目、一名县领导挂帅、一个会议纪要、一个牵头单位负责、一个项目工作组和一月一督查的</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六个一</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办法管理。</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第五章</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其他扶持政策</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第十二条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金融信贷政策。每年由县政府办牵头，招商局、工业商务局、工业园区、财政局、人行等部门，召开不少于</w:t>
      </w:r>
      <w:r w:rsidRPr="00E45F43">
        <w:rPr>
          <w:rFonts w:ascii="Helvetica" w:eastAsia="宋体" w:hAnsi="Helvetica" w:cs="Helvetica"/>
          <w:color w:val="333333"/>
          <w:kern w:val="0"/>
          <w:szCs w:val="21"/>
        </w:rPr>
        <w:t>2</w:t>
      </w:r>
      <w:r w:rsidRPr="00E45F43">
        <w:rPr>
          <w:rFonts w:ascii="Helvetica" w:eastAsia="宋体" w:hAnsi="Helvetica" w:cs="Helvetica"/>
          <w:color w:val="333333"/>
          <w:kern w:val="0"/>
          <w:szCs w:val="21"/>
        </w:rPr>
        <w:t>次银企对接洽谈会，在信贷政策范围内，为企业提供仓库保全质押、土地质押、建筑物质押、担保质押等多种形式的信贷支持，切实解决招商引资企业融资难、贷款难的问题。对产业带动力强、科技含量高、附加值高、市场占有率高、有利于培植财源的重点项目，加大政府对企业贷款的协调支持力度，并积极争取有关贴息资金给予扶持。</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第十三条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就医政策。农村户籍投资者按自愿原则，提供投资证明可参加当年的新型农村合作医疗保险，享有我县参合者同等待遇。投资者在我县就医，医疗机构及时提供报账单据</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发票、费用清单、病情证明</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，便于投资者报销。</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第十四</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就学政策。</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w:t>
      </w:r>
      <w:proofErr w:type="gramStart"/>
      <w:r w:rsidRPr="00E45F43">
        <w:rPr>
          <w:rFonts w:ascii="Helvetica" w:eastAsia="宋体" w:hAnsi="Helvetica" w:cs="Helvetica"/>
          <w:color w:val="333333"/>
          <w:kern w:val="0"/>
          <w:szCs w:val="21"/>
        </w:rPr>
        <w:t>一</w:t>
      </w:r>
      <w:proofErr w:type="gramEnd"/>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实际投资额达到</w:t>
      </w:r>
      <w:r w:rsidRPr="00E45F43">
        <w:rPr>
          <w:rFonts w:ascii="Helvetica" w:eastAsia="宋体" w:hAnsi="Helvetica" w:cs="Helvetica"/>
          <w:color w:val="333333"/>
          <w:kern w:val="0"/>
          <w:szCs w:val="21"/>
        </w:rPr>
        <w:t>0.5</w:t>
      </w:r>
      <w:r w:rsidRPr="00E45F43">
        <w:rPr>
          <w:rFonts w:ascii="Helvetica" w:eastAsia="宋体" w:hAnsi="Helvetica" w:cs="Helvetica"/>
          <w:color w:val="333333"/>
          <w:kern w:val="0"/>
          <w:szCs w:val="21"/>
        </w:rPr>
        <w:t>亿元以上的招商项目，其投资者</w:t>
      </w:r>
      <w:r w:rsidRPr="00E45F43">
        <w:rPr>
          <w:rFonts w:ascii="Helvetica" w:eastAsia="宋体" w:hAnsi="Helvetica" w:cs="Helvetica"/>
          <w:color w:val="333333"/>
          <w:kern w:val="0"/>
          <w:szCs w:val="21"/>
        </w:rPr>
        <w:t>(</w:t>
      </w:r>
      <w:proofErr w:type="gramStart"/>
      <w:r w:rsidRPr="00E45F43">
        <w:rPr>
          <w:rFonts w:ascii="Helvetica" w:eastAsia="宋体" w:hAnsi="Helvetica" w:cs="Helvetica"/>
          <w:color w:val="333333"/>
          <w:kern w:val="0"/>
          <w:szCs w:val="21"/>
        </w:rPr>
        <w:t>含股东</w:t>
      </w:r>
      <w:proofErr w:type="gramEnd"/>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子女可以择校就学。</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二</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一年内实际投资完成</w:t>
      </w:r>
      <w:r w:rsidRPr="00E45F43">
        <w:rPr>
          <w:rFonts w:ascii="Helvetica" w:eastAsia="宋体" w:hAnsi="Helvetica" w:cs="Helvetica"/>
          <w:color w:val="333333"/>
          <w:kern w:val="0"/>
          <w:szCs w:val="21"/>
        </w:rPr>
        <w:t>500</w:t>
      </w:r>
      <w:r w:rsidRPr="00E45F43">
        <w:rPr>
          <w:rFonts w:ascii="Helvetica" w:eastAsia="宋体" w:hAnsi="Helvetica" w:cs="Helvetica"/>
          <w:color w:val="333333"/>
          <w:kern w:val="0"/>
          <w:szCs w:val="21"/>
        </w:rPr>
        <w:t>万元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含</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以上的投资商，经招商部门确认或开办企业、公司持有上一年度盈江县国税或地税纳税总和</w:t>
      </w:r>
      <w:r w:rsidRPr="00E45F43">
        <w:rPr>
          <w:rFonts w:ascii="Helvetica" w:eastAsia="宋体" w:hAnsi="Helvetica" w:cs="Helvetica"/>
          <w:color w:val="333333"/>
          <w:kern w:val="0"/>
          <w:szCs w:val="21"/>
        </w:rPr>
        <w:t>100</w:t>
      </w:r>
      <w:r w:rsidRPr="00E45F43">
        <w:rPr>
          <w:rFonts w:ascii="Helvetica" w:eastAsia="宋体" w:hAnsi="Helvetica" w:cs="Helvetica"/>
          <w:color w:val="333333"/>
          <w:kern w:val="0"/>
          <w:szCs w:val="21"/>
        </w:rPr>
        <w:t>万元以上</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含</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的完税证明，其法人或工商部门认定的股东子女可纳入县第一小学第一批次招录或初中第一批次随机派位，转学的优先安排学位入学。</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第十五条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户籍政策。外来投资者按自愿原则，符合落户条件，本人提出申请，可将本人及直系亲属户籍迁入我县。</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第十六条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人才政策。民营企业积极引进各类高层次人才，符合享受政府购房补贴评审认定条件的按云</w:t>
      </w:r>
      <w:proofErr w:type="gramStart"/>
      <w:r w:rsidRPr="00E45F43">
        <w:rPr>
          <w:rFonts w:ascii="Helvetica" w:eastAsia="宋体" w:hAnsi="Helvetica" w:cs="Helvetica"/>
          <w:color w:val="333333"/>
          <w:kern w:val="0"/>
          <w:szCs w:val="21"/>
        </w:rPr>
        <w:t>人社发</w:t>
      </w:r>
      <w:proofErr w:type="gramEnd"/>
      <w:r w:rsidRPr="00E45F43">
        <w:rPr>
          <w:rFonts w:ascii="Helvetica" w:eastAsia="宋体" w:hAnsi="Helvetica" w:cs="Helvetica"/>
          <w:color w:val="333333"/>
          <w:kern w:val="0"/>
          <w:szCs w:val="21"/>
        </w:rPr>
        <w:t>《关于印发</w:t>
      </w:r>
      <w:r w:rsidRPr="00E45F43">
        <w:rPr>
          <w:rFonts w:ascii="Helvetica" w:eastAsia="宋体" w:hAnsi="Helvetica" w:cs="Helvetica"/>
          <w:color w:val="333333"/>
          <w:kern w:val="0"/>
          <w:szCs w:val="21"/>
        </w:rPr>
        <w:t>&lt;</w:t>
      </w:r>
      <w:r w:rsidRPr="00E45F43">
        <w:rPr>
          <w:rFonts w:ascii="Helvetica" w:eastAsia="宋体" w:hAnsi="Helvetica" w:cs="Helvetica"/>
          <w:color w:val="333333"/>
          <w:kern w:val="0"/>
          <w:szCs w:val="21"/>
        </w:rPr>
        <w:t>云南省民营企业引进高层次人才享受政府购房补贴评审认定暂行办法</w:t>
      </w:r>
      <w:r w:rsidRPr="00E45F43">
        <w:rPr>
          <w:rFonts w:ascii="Helvetica" w:eastAsia="宋体" w:hAnsi="Helvetica" w:cs="Helvetica"/>
          <w:color w:val="333333"/>
          <w:kern w:val="0"/>
          <w:szCs w:val="21"/>
        </w:rPr>
        <w:t>&gt;</w:t>
      </w:r>
      <w:r w:rsidRPr="00E45F43">
        <w:rPr>
          <w:rFonts w:ascii="Helvetica" w:eastAsia="宋体" w:hAnsi="Helvetica" w:cs="Helvetica"/>
          <w:color w:val="333333"/>
          <w:kern w:val="0"/>
          <w:szCs w:val="21"/>
        </w:rPr>
        <w:t>的通知》【</w:t>
      </w:r>
      <w:r w:rsidRPr="00E45F43">
        <w:rPr>
          <w:rFonts w:ascii="Helvetica" w:eastAsia="宋体" w:hAnsi="Helvetica" w:cs="Helvetica"/>
          <w:color w:val="333333"/>
          <w:kern w:val="0"/>
          <w:szCs w:val="21"/>
        </w:rPr>
        <w:t>2014</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78</w:t>
      </w:r>
      <w:r w:rsidRPr="00E45F43">
        <w:rPr>
          <w:rFonts w:ascii="Helvetica" w:eastAsia="宋体" w:hAnsi="Helvetica" w:cs="Helvetica"/>
          <w:color w:val="333333"/>
          <w:kern w:val="0"/>
          <w:szCs w:val="21"/>
        </w:rPr>
        <w:t>号文件规定执行。</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第十七条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标准化厂房建设政策。投资标准厂房按工业项目用地价格供地，免收市政建设配套费，省、州补助资金全额用于扶持企业。</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lastRenderedPageBreak/>
        <w:t xml:space="preserve">　　第十八条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扶强扶优政策。凡企业产品获得</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中国名牌</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或</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中国驰名商标</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，一次性奖励</w:t>
      </w:r>
      <w:r w:rsidRPr="00E45F43">
        <w:rPr>
          <w:rFonts w:ascii="Helvetica" w:eastAsia="宋体" w:hAnsi="Helvetica" w:cs="Helvetica"/>
          <w:color w:val="333333"/>
          <w:kern w:val="0"/>
          <w:szCs w:val="21"/>
        </w:rPr>
        <w:t>5</w:t>
      </w:r>
      <w:r w:rsidRPr="00E45F43">
        <w:rPr>
          <w:rFonts w:ascii="Helvetica" w:eastAsia="宋体" w:hAnsi="Helvetica" w:cs="Helvetica"/>
          <w:color w:val="333333"/>
          <w:kern w:val="0"/>
          <w:szCs w:val="21"/>
        </w:rPr>
        <w:t>万元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创省级名牌产品，一次性奖励</w:t>
      </w:r>
      <w:r w:rsidRPr="00E45F43">
        <w:rPr>
          <w:rFonts w:ascii="Helvetica" w:eastAsia="宋体" w:hAnsi="Helvetica" w:cs="Helvetica"/>
          <w:color w:val="333333"/>
          <w:kern w:val="0"/>
          <w:szCs w:val="21"/>
        </w:rPr>
        <w:t>2</w:t>
      </w:r>
      <w:r w:rsidRPr="00E45F43">
        <w:rPr>
          <w:rFonts w:ascii="Helvetica" w:eastAsia="宋体" w:hAnsi="Helvetica" w:cs="Helvetica"/>
          <w:color w:val="333333"/>
          <w:kern w:val="0"/>
          <w:szCs w:val="21"/>
        </w:rPr>
        <w:t>万元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获省级新产品和省级科技成果的，一次性分别奖励</w:t>
      </w:r>
      <w:r w:rsidRPr="00E45F43">
        <w:rPr>
          <w:rFonts w:ascii="Helvetica" w:eastAsia="宋体" w:hAnsi="Helvetica" w:cs="Helvetica"/>
          <w:color w:val="333333"/>
          <w:kern w:val="0"/>
          <w:szCs w:val="21"/>
        </w:rPr>
        <w:t>1</w:t>
      </w:r>
      <w:r w:rsidRPr="00E45F43">
        <w:rPr>
          <w:rFonts w:ascii="Helvetica" w:eastAsia="宋体" w:hAnsi="Helvetica" w:cs="Helvetica"/>
          <w:color w:val="333333"/>
          <w:kern w:val="0"/>
          <w:szCs w:val="21"/>
        </w:rPr>
        <w:t>万元，获州级科技成果一次性奖励</w:t>
      </w:r>
      <w:r w:rsidRPr="00E45F43">
        <w:rPr>
          <w:rFonts w:ascii="Helvetica" w:eastAsia="宋体" w:hAnsi="Helvetica" w:cs="Helvetica"/>
          <w:color w:val="333333"/>
          <w:kern w:val="0"/>
          <w:szCs w:val="21"/>
        </w:rPr>
        <w:t>5000</w:t>
      </w:r>
      <w:r w:rsidRPr="00E45F43">
        <w:rPr>
          <w:rFonts w:ascii="Helvetica" w:eastAsia="宋体" w:hAnsi="Helvetica" w:cs="Helvetica"/>
          <w:color w:val="333333"/>
          <w:kern w:val="0"/>
          <w:szCs w:val="21"/>
        </w:rPr>
        <w:t>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凡企业法人获得国家、省、州级优秀企业家荣誉的，一次性分别奖励</w:t>
      </w:r>
      <w:r w:rsidRPr="00E45F43">
        <w:rPr>
          <w:rFonts w:ascii="Helvetica" w:eastAsia="宋体" w:hAnsi="Helvetica" w:cs="Helvetica"/>
          <w:color w:val="333333"/>
          <w:kern w:val="0"/>
          <w:szCs w:val="21"/>
        </w:rPr>
        <w:t>10000</w:t>
      </w:r>
      <w:r w:rsidRPr="00E45F43">
        <w:rPr>
          <w:rFonts w:ascii="Helvetica" w:eastAsia="宋体" w:hAnsi="Helvetica" w:cs="Helvetica"/>
          <w:color w:val="333333"/>
          <w:kern w:val="0"/>
          <w:szCs w:val="21"/>
        </w:rPr>
        <w:t>元、</w:t>
      </w:r>
      <w:r w:rsidRPr="00E45F43">
        <w:rPr>
          <w:rFonts w:ascii="Helvetica" w:eastAsia="宋体" w:hAnsi="Helvetica" w:cs="Helvetica"/>
          <w:color w:val="333333"/>
          <w:kern w:val="0"/>
          <w:szCs w:val="21"/>
        </w:rPr>
        <w:t>5000</w:t>
      </w:r>
      <w:r w:rsidRPr="00E45F43">
        <w:rPr>
          <w:rFonts w:ascii="Helvetica" w:eastAsia="宋体" w:hAnsi="Helvetica" w:cs="Helvetica"/>
          <w:color w:val="333333"/>
          <w:kern w:val="0"/>
          <w:szCs w:val="21"/>
        </w:rPr>
        <w:t>元、</w:t>
      </w:r>
      <w:r w:rsidRPr="00E45F43">
        <w:rPr>
          <w:rFonts w:ascii="Helvetica" w:eastAsia="宋体" w:hAnsi="Helvetica" w:cs="Helvetica"/>
          <w:color w:val="333333"/>
          <w:kern w:val="0"/>
          <w:szCs w:val="21"/>
        </w:rPr>
        <w:t>3000</w:t>
      </w:r>
      <w:r w:rsidRPr="00E45F43">
        <w:rPr>
          <w:rFonts w:ascii="Helvetica" w:eastAsia="宋体" w:hAnsi="Helvetica" w:cs="Helvetica"/>
          <w:color w:val="333333"/>
          <w:kern w:val="0"/>
          <w:szCs w:val="21"/>
        </w:rPr>
        <w:t>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凡获得国家、省、州领办创办高新技术企业领军人物荣誉的</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一次性分别奖励</w:t>
      </w:r>
      <w:r w:rsidRPr="00E45F43">
        <w:rPr>
          <w:rFonts w:ascii="Helvetica" w:eastAsia="宋体" w:hAnsi="Helvetica" w:cs="Helvetica"/>
          <w:color w:val="333333"/>
          <w:kern w:val="0"/>
          <w:szCs w:val="21"/>
        </w:rPr>
        <w:t>5000</w:t>
      </w:r>
      <w:r w:rsidRPr="00E45F43">
        <w:rPr>
          <w:rFonts w:ascii="Helvetica" w:eastAsia="宋体" w:hAnsi="Helvetica" w:cs="Helvetica"/>
          <w:color w:val="333333"/>
          <w:kern w:val="0"/>
          <w:szCs w:val="21"/>
        </w:rPr>
        <w:t>元、</w:t>
      </w:r>
      <w:r w:rsidRPr="00E45F43">
        <w:rPr>
          <w:rFonts w:ascii="Helvetica" w:eastAsia="宋体" w:hAnsi="Helvetica" w:cs="Helvetica"/>
          <w:color w:val="333333"/>
          <w:kern w:val="0"/>
          <w:szCs w:val="21"/>
        </w:rPr>
        <w:t>3000</w:t>
      </w:r>
      <w:r w:rsidRPr="00E45F43">
        <w:rPr>
          <w:rFonts w:ascii="Helvetica" w:eastAsia="宋体" w:hAnsi="Helvetica" w:cs="Helvetica"/>
          <w:color w:val="333333"/>
          <w:kern w:val="0"/>
          <w:szCs w:val="21"/>
        </w:rPr>
        <w:t>元、</w:t>
      </w:r>
      <w:r w:rsidRPr="00E45F43">
        <w:rPr>
          <w:rFonts w:ascii="Helvetica" w:eastAsia="宋体" w:hAnsi="Helvetica" w:cs="Helvetica"/>
          <w:color w:val="333333"/>
          <w:kern w:val="0"/>
          <w:szCs w:val="21"/>
        </w:rPr>
        <w:t>1000</w:t>
      </w:r>
      <w:r w:rsidRPr="00E45F43">
        <w:rPr>
          <w:rFonts w:ascii="Helvetica" w:eastAsia="宋体" w:hAnsi="Helvetica" w:cs="Helvetica"/>
          <w:color w:val="333333"/>
          <w:kern w:val="0"/>
          <w:szCs w:val="21"/>
        </w:rPr>
        <w:t>元</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凡年销售收入超</w:t>
      </w:r>
      <w:r w:rsidRPr="00E45F43">
        <w:rPr>
          <w:rFonts w:ascii="Helvetica" w:eastAsia="宋体" w:hAnsi="Helvetica" w:cs="Helvetica"/>
          <w:color w:val="333333"/>
          <w:kern w:val="0"/>
          <w:szCs w:val="21"/>
        </w:rPr>
        <w:t>10</w:t>
      </w:r>
      <w:r w:rsidRPr="00E45F43">
        <w:rPr>
          <w:rFonts w:ascii="Helvetica" w:eastAsia="宋体" w:hAnsi="Helvetica" w:cs="Helvetica"/>
          <w:color w:val="333333"/>
          <w:kern w:val="0"/>
          <w:szCs w:val="21"/>
        </w:rPr>
        <w:t>亿元且总部设立在盈江县的企业，一次性奖励</w:t>
      </w:r>
      <w:r w:rsidRPr="00E45F43">
        <w:rPr>
          <w:rFonts w:ascii="Helvetica" w:eastAsia="宋体" w:hAnsi="Helvetica" w:cs="Helvetica"/>
          <w:color w:val="333333"/>
          <w:kern w:val="0"/>
          <w:szCs w:val="21"/>
        </w:rPr>
        <w:t>100</w:t>
      </w:r>
      <w:r w:rsidRPr="00E45F43">
        <w:rPr>
          <w:rFonts w:ascii="Helvetica" w:eastAsia="宋体" w:hAnsi="Helvetica" w:cs="Helvetica"/>
          <w:color w:val="333333"/>
          <w:kern w:val="0"/>
          <w:szCs w:val="21"/>
        </w:rPr>
        <w:t>万元。</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第十九条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以商招商奖励政策。按《云南省招商引资中介奖励办法</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试行</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云招商委办发【</w:t>
      </w:r>
      <w:r w:rsidRPr="00E45F43">
        <w:rPr>
          <w:rFonts w:ascii="Helvetica" w:eastAsia="宋体" w:hAnsi="Helvetica" w:cs="Helvetica"/>
          <w:color w:val="333333"/>
          <w:kern w:val="0"/>
          <w:szCs w:val="21"/>
        </w:rPr>
        <w:t>2015</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5</w:t>
      </w:r>
      <w:r w:rsidRPr="00E45F43">
        <w:rPr>
          <w:rFonts w:ascii="Helvetica" w:eastAsia="宋体" w:hAnsi="Helvetica" w:cs="Helvetica"/>
          <w:color w:val="333333"/>
          <w:kern w:val="0"/>
          <w:szCs w:val="21"/>
        </w:rPr>
        <w:t>号</w:t>
      </w:r>
      <w:r w:rsidRPr="00E45F43">
        <w:rPr>
          <w:rFonts w:ascii="Helvetica" w:eastAsia="宋体" w:hAnsi="Helvetica" w:cs="Helvetica"/>
          <w:color w:val="333333"/>
          <w:kern w:val="0"/>
          <w:szCs w:val="21"/>
        </w:rPr>
        <w:t>)</w:t>
      </w:r>
      <w:r w:rsidRPr="00E45F43">
        <w:rPr>
          <w:rFonts w:ascii="Helvetica" w:eastAsia="宋体" w:hAnsi="Helvetica" w:cs="Helvetica"/>
          <w:color w:val="333333"/>
          <w:kern w:val="0"/>
          <w:szCs w:val="21"/>
        </w:rPr>
        <w:t>规定执行</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第六章</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附则</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第二十条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本办法由中共盈江县委督查室、盈江县人民政府督查室、盈江县纪委监察局监督执行。不按上述规定执行，出现推诿、扯皮、慢作为、不作为、乱作为的，由盈江县纪委监察局根据有关规定进行问责和做出相应处理。</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第二十一条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本办法由盈江县招商引资工作领导小组办公室负责解释。</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第二十二条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在本办法执行中，如：国家、省、州出台新的优惠政策即按新的优惠政策执行。</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第二十三条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盈江县本地企业投资项目，参照本办法执行。</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第二十四条</w:t>
      </w: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本办法从公布之日起施行。</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附件：</w:t>
      </w:r>
      <w:r w:rsidRPr="00E45F43">
        <w:rPr>
          <w:rFonts w:ascii="Helvetica" w:eastAsia="宋体" w:hAnsi="Helvetica" w:cs="Helvetica"/>
          <w:color w:val="333333"/>
          <w:kern w:val="0"/>
          <w:szCs w:val="21"/>
        </w:rPr>
        <w:t xml:space="preserve">1. </w:t>
      </w:r>
      <w:r w:rsidRPr="00E45F43">
        <w:rPr>
          <w:rFonts w:ascii="Helvetica" w:eastAsia="宋体" w:hAnsi="Helvetica" w:cs="Helvetica"/>
          <w:color w:val="333333"/>
          <w:kern w:val="0"/>
          <w:szCs w:val="21"/>
        </w:rPr>
        <w:t>盈江县招商引资项目用地优惠奖励申报表</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2.</w:t>
      </w:r>
      <w:r w:rsidRPr="00E45F43">
        <w:rPr>
          <w:rFonts w:ascii="Helvetica" w:eastAsia="宋体" w:hAnsi="Helvetica" w:cs="Helvetica"/>
          <w:color w:val="333333"/>
          <w:kern w:val="0"/>
          <w:szCs w:val="21"/>
        </w:rPr>
        <w:t>盈江县招商引资项目税收优惠奖励申报表</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3.</w:t>
      </w:r>
      <w:r w:rsidRPr="00E45F43">
        <w:rPr>
          <w:rFonts w:ascii="Helvetica" w:eastAsia="宋体" w:hAnsi="Helvetica" w:cs="Helvetica"/>
          <w:color w:val="333333"/>
          <w:kern w:val="0"/>
          <w:szCs w:val="21"/>
        </w:rPr>
        <w:t>云南省中介招商引资人备案登记表</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 xml:space="preserve">4. </w:t>
      </w:r>
      <w:r w:rsidRPr="00E45F43">
        <w:rPr>
          <w:rFonts w:ascii="Helvetica" w:eastAsia="宋体" w:hAnsi="Helvetica" w:cs="Helvetica"/>
          <w:color w:val="333333"/>
          <w:kern w:val="0"/>
          <w:szCs w:val="21"/>
        </w:rPr>
        <w:t>云南省招商引资引进高层次人才享受住房政府补贴评审认定表</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w:t>
      </w:r>
      <w:r w:rsidRPr="00E45F43">
        <w:rPr>
          <w:rFonts w:ascii="Helvetica" w:eastAsia="宋体" w:hAnsi="Helvetica" w:cs="Helvetica"/>
          <w:color w:val="333333"/>
          <w:kern w:val="0"/>
          <w:szCs w:val="21"/>
        </w:rPr>
        <w:t>5.</w:t>
      </w:r>
      <w:r w:rsidRPr="00E45F43">
        <w:rPr>
          <w:rFonts w:ascii="Helvetica" w:eastAsia="宋体" w:hAnsi="Helvetica" w:cs="Helvetica"/>
          <w:color w:val="333333"/>
          <w:kern w:val="0"/>
          <w:szCs w:val="21"/>
        </w:rPr>
        <w:t>盈江县扶强扶优招商项目奖励申报表</w:t>
      </w:r>
    </w:p>
    <w:p w:rsidR="00E45F43" w:rsidRPr="00E45F43" w:rsidRDefault="00E45F43" w:rsidP="00E45F43">
      <w:pPr>
        <w:widowControl/>
        <w:shd w:val="clear" w:color="auto" w:fill="FFFFFF"/>
        <w:spacing w:after="150" w:line="378" w:lineRule="atLeast"/>
        <w:jc w:val="left"/>
        <w:rPr>
          <w:rFonts w:ascii="Helvetica" w:eastAsia="宋体" w:hAnsi="Helvetica" w:cs="Helvetica"/>
          <w:color w:val="333333"/>
          <w:kern w:val="0"/>
          <w:szCs w:val="21"/>
        </w:rPr>
      </w:pPr>
      <w:r w:rsidRPr="00E45F43">
        <w:rPr>
          <w:rFonts w:ascii="Helvetica" w:eastAsia="宋体" w:hAnsi="Helvetica" w:cs="Helvetica"/>
          <w:color w:val="333333"/>
          <w:kern w:val="0"/>
          <w:szCs w:val="21"/>
        </w:rPr>
        <w:t xml:space="preserve">　　盈江县招商引资领导小组办公室</w:t>
      </w:r>
    </w:p>
    <w:p w:rsidR="00644874" w:rsidRPr="00E45F43" w:rsidRDefault="00E45F43" w:rsidP="00E45F43">
      <w:pPr>
        <w:widowControl/>
        <w:shd w:val="clear" w:color="auto" w:fill="FFFFFF"/>
        <w:spacing w:after="150" w:line="378" w:lineRule="atLeast"/>
        <w:jc w:val="left"/>
        <w:rPr>
          <w:rFonts w:ascii="Helvetica" w:eastAsia="宋体" w:hAnsi="Helvetica" w:cs="Helvetica" w:hint="eastAsia"/>
          <w:color w:val="333333"/>
          <w:kern w:val="0"/>
          <w:szCs w:val="21"/>
        </w:rPr>
      </w:pPr>
      <w:r w:rsidRPr="00E45F43">
        <w:rPr>
          <w:rFonts w:ascii="Helvetica" w:eastAsia="宋体" w:hAnsi="Helvetica" w:cs="Helvetica"/>
          <w:color w:val="333333"/>
          <w:kern w:val="0"/>
          <w:szCs w:val="21"/>
        </w:rPr>
        <w:t xml:space="preserve">　　二〇一六年三月一十五日</w:t>
      </w:r>
      <w:bookmarkStart w:id="0" w:name="_GoBack"/>
      <w:bookmarkEnd w:id="0"/>
    </w:p>
    <w:sectPr w:rsidR="00644874" w:rsidRPr="00E45F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A4"/>
    <w:rsid w:val="00644874"/>
    <w:rsid w:val="00C02BA4"/>
    <w:rsid w:val="00E45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522-CA2E-4C63-8E31-C9D03F41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45F4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45F43"/>
    <w:rPr>
      <w:rFonts w:ascii="宋体" w:eastAsia="宋体" w:hAnsi="宋体" w:cs="宋体"/>
      <w:b/>
      <w:bCs/>
      <w:kern w:val="0"/>
      <w:sz w:val="27"/>
      <w:szCs w:val="27"/>
    </w:rPr>
  </w:style>
  <w:style w:type="character" w:styleId="a3">
    <w:name w:val="Strong"/>
    <w:basedOn w:val="a0"/>
    <w:uiPriority w:val="22"/>
    <w:qFormat/>
    <w:rsid w:val="00E45F43"/>
    <w:rPr>
      <w:b/>
      <w:bCs/>
    </w:rPr>
  </w:style>
  <w:style w:type="paragraph" w:styleId="a4">
    <w:name w:val="Normal (Web)"/>
    <w:basedOn w:val="a"/>
    <w:uiPriority w:val="99"/>
    <w:semiHidden/>
    <w:unhideWhenUsed/>
    <w:rsid w:val="00E45F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914441">
      <w:bodyDiv w:val="1"/>
      <w:marLeft w:val="0"/>
      <w:marRight w:val="0"/>
      <w:marTop w:val="0"/>
      <w:marBottom w:val="0"/>
      <w:divBdr>
        <w:top w:val="none" w:sz="0" w:space="0" w:color="auto"/>
        <w:left w:val="none" w:sz="0" w:space="0" w:color="auto"/>
        <w:bottom w:val="none" w:sz="0" w:space="0" w:color="auto"/>
        <w:right w:val="none" w:sz="0" w:space="0" w:color="auto"/>
      </w:divBdr>
    </w:div>
    <w:div w:id="19782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2018-05-28T05:54:00Z</dcterms:created>
  <dcterms:modified xsi:type="dcterms:W3CDTF">2018-05-28T05:54:00Z</dcterms:modified>
</cp:coreProperties>
</file>