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7" w:type="dxa"/>
        <w:shd w:val="clear" w:color="auto" w:fill="C9C9C9"/>
        <w:tblCellMar>
          <w:left w:w="0" w:type="dxa"/>
          <w:right w:w="0" w:type="dxa"/>
        </w:tblCellMar>
        <w:tblLook w:val="04A0" w:firstRow="1" w:lastRow="0" w:firstColumn="1" w:lastColumn="0" w:noHBand="0" w:noVBand="1"/>
      </w:tblPr>
      <w:tblGrid>
        <w:gridCol w:w="562"/>
        <w:gridCol w:w="2026"/>
        <w:gridCol w:w="556"/>
        <w:gridCol w:w="1736"/>
        <w:gridCol w:w="556"/>
        <w:gridCol w:w="2039"/>
      </w:tblGrid>
      <w:tr w:rsidR="00A00331" w:rsidRPr="00A00331" w14:paraId="1F234693" w14:textId="77777777" w:rsidTr="00A00331">
        <w:trPr>
          <w:trHeight w:val="375"/>
          <w:tblCellSpacing w:w="7" w:type="dxa"/>
        </w:trPr>
        <w:tc>
          <w:tcPr>
            <w:tcW w:w="400" w:type="pct"/>
            <w:tcBorders>
              <w:top w:val="nil"/>
              <w:left w:val="nil"/>
              <w:bottom w:val="nil"/>
              <w:right w:val="nil"/>
            </w:tcBorders>
            <w:shd w:val="clear" w:color="auto" w:fill="FFFFFF"/>
            <w:vAlign w:val="center"/>
            <w:hideMark/>
          </w:tcPr>
          <w:p w14:paraId="2E573E8D" w14:textId="77777777" w:rsidR="00A00331" w:rsidRPr="00A00331" w:rsidRDefault="00A00331" w:rsidP="00A00331">
            <w:pPr>
              <w:widowControl/>
              <w:jc w:val="right"/>
              <w:rPr>
                <w:rFonts w:ascii="微软雅黑" w:eastAsia="微软雅黑" w:hAnsi="微软雅黑" w:cs="宋体"/>
                <w:color w:val="333333"/>
                <w:kern w:val="0"/>
                <w:sz w:val="23"/>
                <w:szCs w:val="23"/>
              </w:rPr>
            </w:pPr>
            <w:r w:rsidRPr="00A00331">
              <w:rPr>
                <w:rFonts w:ascii="微软雅黑" w:eastAsia="微软雅黑" w:hAnsi="微软雅黑" w:cs="宋体" w:hint="eastAsia"/>
                <w:b/>
                <w:bCs/>
                <w:color w:val="333333"/>
                <w:kern w:val="0"/>
                <w:sz w:val="23"/>
                <w:szCs w:val="23"/>
                <w:bdr w:val="none" w:sz="0" w:space="0" w:color="auto" w:frame="1"/>
              </w:rPr>
              <w:t>索引号：</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64077D3D" w14:textId="77777777" w:rsidR="00A00331" w:rsidRPr="00A00331" w:rsidRDefault="00A00331" w:rsidP="00A00331">
            <w:pPr>
              <w:widowControl/>
              <w:jc w:val="lef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color w:val="333333"/>
                <w:kern w:val="0"/>
                <w:sz w:val="23"/>
                <w:szCs w:val="23"/>
              </w:rPr>
              <w:t>014207264/2018-10031</w:t>
            </w:r>
          </w:p>
        </w:tc>
        <w:tc>
          <w:tcPr>
            <w:tcW w:w="400" w:type="pct"/>
            <w:tcBorders>
              <w:top w:val="nil"/>
              <w:left w:val="nil"/>
              <w:bottom w:val="nil"/>
              <w:right w:val="nil"/>
            </w:tcBorders>
            <w:shd w:val="clear" w:color="auto" w:fill="FFFFFF"/>
            <w:vAlign w:val="center"/>
            <w:hideMark/>
          </w:tcPr>
          <w:p w14:paraId="0E5C7B15" w14:textId="77777777" w:rsidR="00A00331" w:rsidRPr="00A00331" w:rsidRDefault="00A00331" w:rsidP="00A00331">
            <w:pPr>
              <w:widowControl/>
              <w:jc w:val="righ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b/>
                <w:bCs/>
                <w:color w:val="333333"/>
                <w:kern w:val="0"/>
                <w:sz w:val="23"/>
                <w:szCs w:val="23"/>
                <w:bdr w:val="none" w:sz="0" w:space="0" w:color="auto" w:frame="1"/>
              </w:rPr>
              <w:t>分类：</w:t>
            </w:r>
          </w:p>
        </w:tc>
        <w:tc>
          <w:tcPr>
            <w:tcW w:w="0" w:type="auto"/>
            <w:gridSpan w:val="3"/>
            <w:tcBorders>
              <w:top w:val="nil"/>
              <w:left w:val="nil"/>
              <w:bottom w:val="nil"/>
              <w:right w:val="nil"/>
            </w:tcBorders>
            <w:shd w:val="clear" w:color="auto" w:fill="FFFFFF"/>
            <w:tcMar>
              <w:top w:w="0" w:type="dxa"/>
              <w:left w:w="60" w:type="dxa"/>
              <w:bottom w:w="0" w:type="dxa"/>
              <w:right w:w="0" w:type="dxa"/>
            </w:tcMar>
            <w:vAlign w:val="center"/>
            <w:hideMark/>
          </w:tcPr>
          <w:p w14:paraId="0CEA9A04" w14:textId="77777777" w:rsidR="00A00331" w:rsidRPr="00A00331" w:rsidRDefault="00A00331" w:rsidP="00A00331">
            <w:pPr>
              <w:widowControl/>
              <w:jc w:val="lef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color w:val="333333"/>
                <w:kern w:val="0"/>
                <w:sz w:val="23"/>
                <w:szCs w:val="23"/>
              </w:rPr>
              <w:t>商贸、海关、旅游\对外经贸合作    意见</w:t>
            </w:r>
          </w:p>
        </w:tc>
      </w:tr>
      <w:tr w:rsidR="00A00331" w:rsidRPr="00A00331" w14:paraId="1FB6A7CD" w14:textId="77777777" w:rsidTr="00A00331">
        <w:trPr>
          <w:trHeight w:val="375"/>
          <w:tblCellSpacing w:w="7" w:type="dxa"/>
        </w:trPr>
        <w:tc>
          <w:tcPr>
            <w:tcW w:w="0" w:type="auto"/>
            <w:tcBorders>
              <w:top w:val="nil"/>
              <w:left w:val="nil"/>
              <w:bottom w:val="nil"/>
              <w:right w:val="nil"/>
            </w:tcBorders>
            <w:shd w:val="clear" w:color="auto" w:fill="FFFFFF"/>
            <w:vAlign w:val="center"/>
            <w:hideMark/>
          </w:tcPr>
          <w:p w14:paraId="275734F2" w14:textId="77777777" w:rsidR="00A00331" w:rsidRPr="00A00331" w:rsidRDefault="00A00331" w:rsidP="00A00331">
            <w:pPr>
              <w:widowControl/>
              <w:jc w:val="righ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b/>
                <w:bCs/>
                <w:color w:val="333333"/>
                <w:kern w:val="0"/>
                <w:sz w:val="23"/>
                <w:szCs w:val="23"/>
                <w:bdr w:val="none" w:sz="0" w:space="0" w:color="auto" w:frame="1"/>
              </w:rPr>
              <w:t>发布机构：</w:t>
            </w:r>
          </w:p>
        </w:tc>
        <w:tc>
          <w:tcPr>
            <w:tcW w:w="0" w:type="auto"/>
            <w:tcBorders>
              <w:top w:val="nil"/>
              <w:left w:val="nil"/>
              <w:bottom w:val="nil"/>
              <w:right w:val="nil"/>
            </w:tcBorders>
            <w:shd w:val="clear" w:color="auto" w:fill="FFFFFF"/>
            <w:tcMar>
              <w:top w:w="0" w:type="dxa"/>
              <w:left w:w="60" w:type="dxa"/>
              <w:bottom w:w="0" w:type="dxa"/>
              <w:right w:w="0" w:type="dxa"/>
            </w:tcMar>
            <w:vAlign w:val="center"/>
            <w:hideMark/>
          </w:tcPr>
          <w:p w14:paraId="5796DC96" w14:textId="77777777" w:rsidR="00A00331" w:rsidRPr="00A00331" w:rsidRDefault="00A00331" w:rsidP="00A00331">
            <w:pPr>
              <w:widowControl/>
              <w:jc w:val="lef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color w:val="333333"/>
                <w:kern w:val="0"/>
                <w:sz w:val="23"/>
                <w:szCs w:val="23"/>
              </w:rPr>
              <w:t>南通市人民政府办公室</w:t>
            </w:r>
          </w:p>
        </w:tc>
        <w:tc>
          <w:tcPr>
            <w:tcW w:w="0" w:type="auto"/>
            <w:tcBorders>
              <w:top w:val="nil"/>
              <w:left w:val="nil"/>
              <w:bottom w:val="nil"/>
              <w:right w:val="nil"/>
            </w:tcBorders>
            <w:shd w:val="clear" w:color="auto" w:fill="FFFFFF"/>
            <w:vAlign w:val="center"/>
            <w:hideMark/>
          </w:tcPr>
          <w:p w14:paraId="51995AEE" w14:textId="77777777" w:rsidR="00A00331" w:rsidRPr="00A00331" w:rsidRDefault="00A00331" w:rsidP="00A00331">
            <w:pPr>
              <w:widowControl/>
              <w:jc w:val="righ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b/>
                <w:bCs/>
                <w:color w:val="333333"/>
                <w:kern w:val="0"/>
                <w:sz w:val="23"/>
                <w:szCs w:val="23"/>
                <w:bdr w:val="none" w:sz="0" w:space="0" w:color="auto" w:frame="1"/>
              </w:rPr>
              <w:t>文号：</w:t>
            </w:r>
          </w:p>
        </w:tc>
        <w:tc>
          <w:tcPr>
            <w:tcW w:w="0" w:type="auto"/>
            <w:gridSpan w:val="3"/>
            <w:tcBorders>
              <w:top w:val="nil"/>
              <w:left w:val="nil"/>
              <w:bottom w:val="nil"/>
              <w:right w:val="nil"/>
            </w:tcBorders>
            <w:shd w:val="clear" w:color="auto" w:fill="FFFFFF"/>
            <w:tcMar>
              <w:top w:w="0" w:type="dxa"/>
              <w:left w:w="60" w:type="dxa"/>
              <w:bottom w:w="0" w:type="dxa"/>
              <w:right w:w="0" w:type="dxa"/>
            </w:tcMar>
            <w:vAlign w:val="center"/>
            <w:hideMark/>
          </w:tcPr>
          <w:p w14:paraId="034240A5" w14:textId="77777777" w:rsidR="00A00331" w:rsidRPr="00A00331" w:rsidRDefault="00A00331" w:rsidP="00A00331">
            <w:pPr>
              <w:widowControl/>
              <w:jc w:val="lef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color w:val="333333"/>
                <w:kern w:val="0"/>
                <w:sz w:val="23"/>
                <w:szCs w:val="23"/>
              </w:rPr>
              <w:t>通政发〔2018〕56号</w:t>
            </w:r>
          </w:p>
        </w:tc>
      </w:tr>
      <w:tr w:rsidR="00A00331" w:rsidRPr="00A00331" w14:paraId="00FAFF3B" w14:textId="77777777" w:rsidTr="00A00331">
        <w:trPr>
          <w:trHeight w:val="375"/>
          <w:tblCellSpacing w:w="7" w:type="dxa"/>
        </w:trPr>
        <w:tc>
          <w:tcPr>
            <w:tcW w:w="0" w:type="auto"/>
            <w:tcBorders>
              <w:top w:val="nil"/>
              <w:left w:val="nil"/>
              <w:bottom w:val="nil"/>
              <w:right w:val="nil"/>
            </w:tcBorders>
            <w:shd w:val="clear" w:color="auto" w:fill="FFFFFF"/>
            <w:vAlign w:val="center"/>
            <w:hideMark/>
          </w:tcPr>
          <w:p w14:paraId="3D501D3F" w14:textId="77777777" w:rsidR="00A00331" w:rsidRPr="00A00331" w:rsidRDefault="00A00331" w:rsidP="00A00331">
            <w:pPr>
              <w:widowControl/>
              <w:jc w:val="righ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b/>
                <w:bCs/>
                <w:color w:val="333333"/>
                <w:kern w:val="0"/>
                <w:sz w:val="23"/>
                <w:szCs w:val="23"/>
                <w:bdr w:val="none" w:sz="0" w:space="0" w:color="auto" w:frame="1"/>
              </w:rPr>
              <w:t>成文日期：</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457EC617" w14:textId="77777777" w:rsidR="00A00331" w:rsidRPr="00A00331" w:rsidRDefault="00A00331" w:rsidP="00A00331">
            <w:pPr>
              <w:widowControl/>
              <w:jc w:val="lef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color w:val="333333"/>
                <w:kern w:val="0"/>
                <w:sz w:val="23"/>
                <w:szCs w:val="23"/>
              </w:rPr>
              <w:t>2018-11-07</w:t>
            </w:r>
          </w:p>
        </w:tc>
        <w:tc>
          <w:tcPr>
            <w:tcW w:w="0" w:type="auto"/>
            <w:tcBorders>
              <w:top w:val="nil"/>
              <w:left w:val="nil"/>
              <w:bottom w:val="nil"/>
              <w:right w:val="nil"/>
            </w:tcBorders>
            <w:shd w:val="clear" w:color="auto" w:fill="FFFFFF"/>
            <w:vAlign w:val="center"/>
            <w:hideMark/>
          </w:tcPr>
          <w:p w14:paraId="2B822FC8" w14:textId="77777777" w:rsidR="00A00331" w:rsidRPr="00A00331" w:rsidRDefault="00A00331" w:rsidP="00A00331">
            <w:pPr>
              <w:widowControl/>
              <w:jc w:val="righ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b/>
                <w:bCs/>
                <w:color w:val="333333"/>
                <w:kern w:val="0"/>
                <w:sz w:val="23"/>
                <w:szCs w:val="23"/>
                <w:bdr w:val="none" w:sz="0" w:space="0" w:color="auto" w:frame="1"/>
              </w:rPr>
              <w:t>发布日期：</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3C6FD3D0" w14:textId="77777777" w:rsidR="00A00331" w:rsidRPr="00A00331" w:rsidRDefault="00A00331" w:rsidP="00A00331">
            <w:pPr>
              <w:widowControl/>
              <w:jc w:val="lef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color w:val="333333"/>
                <w:kern w:val="0"/>
                <w:sz w:val="23"/>
                <w:szCs w:val="23"/>
              </w:rPr>
              <w:t>2018-11-07</w:t>
            </w:r>
          </w:p>
        </w:tc>
        <w:tc>
          <w:tcPr>
            <w:tcW w:w="400" w:type="pct"/>
            <w:tcBorders>
              <w:top w:val="nil"/>
              <w:left w:val="nil"/>
              <w:bottom w:val="nil"/>
              <w:right w:val="nil"/>
            </w:tcBorders>
            <w:shd w:val="clear" w:color="auto" w:fill="FFFFFF"/>
            <w:vAlign w:val="center"/>
            <w:hideMark/>
          </w:tcPr>
          <w:p w14:paraId="291DA955" w14:textId="77777777" w:rsidR="00A00331" w:rsidRPr="00A00331" w:rsidRDefault="00A00331" w:rsidP="00A00331">
            <w:pPr>
              <w:widowControl/>
              <w:jc w:val="righ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b/>
                <w:bCs/>
                <w:color w:val="333333"/>
                <w:kern w:val="0"/>
                <w:sz w:val="23"/>
                <w:szCs w:val="23"/>
                <w:bdr w:val="none" w:sz="0" w:space="0" w:color="auto" w:frame="1"/>
              </w:rPr>
              <w:t>有效性：</w:t>
            </w:r>
          </w:p>
        </w:tc>
        <w:tc>
          <w:tcPr>
            <w:tcW w:w="0" w:type="auto"/>
            <w:tcBorders>
              <w:top w:val="nil"/>
              <w:left w:val="nil"/>
              <w:bottom w:val="nil"/>
              <w:right w:val="nil"/>
            </w:tcBorders>
            <w:shd w:val="clear" w:color="auto" w:fill="FFFFFF"/>
            <w:tcMar>
              <w:top w:w="0" w:type="dxa"/>
              <w:left w:w="60" w:type="dxa"/>
              <w:bottom w:w="0" w:type="dxa"/>
              <w:right w:w="0" w:type="dxa"/>
            </w:tcMar>
            <w:vAlign w:val="center"/>
            <w:hideMark/>
          </w:tcPr>
          <w:p w14:paraId="71F5E264" w14:textId="77777777" w:rsidR="00A00331" w:rsidRPr="00A00331" w:rsidRDefault="00A00331" w:rsidP="00A00331">
            <w:pPr>
              <w:widowControl/>
              <w:jc w:val="lef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color w:val="333333"/>
                <w:kern w:val="0"/>
                <w:sz w:val="23"/>
                <w:szCs w:val="23"/>
              </w:rPr>
              <w:t>有效</w:t>
            </w:r>
          </w:p>
        </w:tc>
      </w:tr>
      <w:tr w:rsidR="00A00331" w:rsidRPr="00A00331" w14:paraId="751188A8" w14:textId="77777777" w:rsidTr="00A00331">
        <w:trPr>
          <w:trHeight w:val="375"/>
          <w:tblCellSpacing w:w="7" w:type="dxa"/>
        </w:trPr>
        <w:tc>
          <w:tcPr>
            <w:tcW w:w="0" w:type="auto"/>
            <w:tcBorders>
              <w:top w:val="nil"/>
              <w:left w:val="nil"/>
              <w:bottom w:val="nil"/>
              <w:right w:val="nil"/>
            </w:tcBorders>
            <w:shd w:val="clear" w:color="auto" w:fill="FFFFFF"/>
            <w:vAlign w:val="center"/>
            <w:hideMark/>
          </w:tcPr>
          <w:p w14:paraId="381E394D" w14:textId="77777777" w:rsidR="00A00331" w:rsidRPr="00A00331" w:rsidRDefault="00A00331" w:rsidP="00A00331">
            <w:pPr>
              <w:widowControl/>
              <w:jc w:val="righ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b/>
                <w:bCs/>
                <w:color w:val="333333"/>
                <w:kern w:val="0"/>
                <w:sz w:val="23"/>
                <w:szCs w:val="23"/>
                <w:bdr w:val="none" w:sz="0" w:space="0" w:color="auto" w:frame="1"/>
              </w:rPr>
              <w:t>名称：</w:t>
            </w:r>
          </w:p>
        </w:tc>
        <w:tc>
          <w:tcPr>
            <w:tcW w:w="0" w:type="auto"/>
            <w:gridSpan w:val="5"/>
            <w:tcBorders>
              <w:top w:val="nil"/>
              <w:left w:val="nil"/>
              <w:bottom w:val="nil"/>
              <w:right w:val="nil"/>
            </w:tcBorders>
            <w:shd w:val="clear" w:color="auto" w:fill="FFFFFF"/>
            <w:tcMar>
              <w:top w:w="0" w:type="dxa"/>
              <w:left w:w="60" w:type="dxa"/>
              <w:bottom w:w="0" w:type="dxa"/>
              <w:right w:w="0" w:type="dxa"/>
            </w:tcMar>
            <w:vAlign w:val="center"/>
            <w:hideMark/>
          </w:tcPr>
          <w:p w14:paraId="7A8901A8" w14:textId="77777777" w:rsidR="00A00331" w:rsidRPr="00A00331" w:rsidRDefault="00A00331" w:rsidP="00A00331">
            <w:pPr>
              <w:widowControl/>
              <w:jc w:val="left"/>
              <w:rPr>
                <w:rFonts w:ascii="微软雅黑" w:eastAsia="微软雅黑" w:hAnsi="微软雅黑" w:cs="宋体" w:hint="eastAsia"/>
                <w:color w:val="333333"/>
                <w:kern w:val="0"/>
                <w:sz w:val="23"/>
                <w:szCs w:val="23"/>
              </w:rPr>
            </w:pPr>
            <w:r w:rsidRPr="00A00331">
              <w:rPr>
                <w:rFonts w:ascii="微软雅黑" w:eastAsia="微软雅黑" w:hAnsi="微软雅黑" w:cs="宋体" w:hint="eastAsia"/>
                <w:color w:val="333333"/>
                <w:kern w:val="0"/>
                <w:sz w:val="23"/>
                <w:szCs w:val="23"/>
              </w:rPr>
              <w:t>市政府关于促进利用外资高质量发展的若干意见</w:t>
            </w:r>
          </w:p>
        </w:tc>
      </w:tr>
    </w:tbl>
    <w:p w14:paraId="3CB49456" w14:textId="77777777" w:rsidR="00A00331" w:rsidRPr="00A00331" w:rsidRDefault="00A00331" w:rsidP="00A00331">
      <w:pPr>
        <w:widowControl/>
        <w:spacing w:line="900" w:lineRule="atLeast"/>
        <w:jc w:val="center"/>
        <w:rPr>
          <w:rFonts w:ascii="微软雅黑" w:eastAsia="微软雅黑" w:hAnsi="微软雅黑" w:cs="宋体" w:hint="eastAsia"/>
          <w:color w:val="355E92"/>
          <w:kern w:val="0"/>
          <w:sz w:val="45"/>
          <w:szCs w:val="45"/>
        </w:rPr>
      </w:pPr>
      <w:bookmarkStart w:id="0" w:name="_GoBack"/>
      <w:r w:rsidRPr="00A00331">
        <w:rPr>
          <w:rFonts w:ascii="微软雅黑" w:eastAsia="微软雅黑" w:hAnsi="微软雅黑" w:cs="宋体" w:hint="eastAsia"/>
          <w:color w:val="355E92"/>
          <w:kern w:val="0"/>
          <w:sz w:val="45"/>
          <w:szCs w:val="45"/>
        </w:rPr>
        <w:t>市政府关于促进利用外资高质量发展的若干意见</w:t>
      </w:r>
    </w:p>
    <w:bookmarkEnd w:id="0"/>
    <w:p w14:paraId="76AB7218" w14:textId="77777777" w:rsidR="00A00331" w:rsidRPr="00A00331" w:rsidRDefault="00A00331" w:rsidP="00A00331">
      <w:pPr>
        <w:widowControl/>
        <w:spacing w:line="600" w:lineRule="atLeast"/>
        <w:jc w:val="center"/>
        <w:rPr>
          <w:rFonts w:ascii="微软雅黑" w:eastAsia="微软雅黑" w:hAnsi="微软雅黑" w:cs="宋体" w:hint="eastAsia"/>
          <w:color w:val="666666"/>
          <w:kern w:val="0"/>
          <w:sz w:val="23"/>
          <w:szCs w:val="23"/>
        </w:rPr>
      </w:pPr>
      <w:r w:rsidRPr="00A00331">
        <w:rPr>
          <w:rFonts w:ascii="微软雅黑" w:eastAsia="微软雅黑" w:hAnsi="微软雅黑" w:cs="宋体" w:hint="eastAsia"/>
          <w:color w:val="666666"/>
          <w:kern w:val="0"/>
          <w:sz w:val="23"/>
          <w:szCs w:val="23"/>
          <w:bdr w:val="none" w:sz="0" w:space="0" w:color="auto" w:frame="1"/>
        </w:rPr>
        <w:t>来源：南通市人民政府办公室</w:t>
      </w:r>
      <w:r w:rsidRPr="00A00331">
        <w:rPr>
          <w:rFonts w:ascii="微软雅黑" w:eastAsia="微软雅黑" w:hAnsi="微软雅黑" w:cs="宋体" w:hint="eastAsia"/>
          <w:color w:val="666666"/>
          <w:kern w:val="0"/>
          <w:sz w:val="23"/>
          <w:szCs w:val="23"/>
        </w:rPr>
        <w:t> </w:t>
      </w:r>
      <w:r w:rsidRPr="00A00331">
        <w:rPr>
          <w:rFonts w:ascii="微软雅黑" w:eastAsia="微软雅黑" w:hAnsi="微软雅黑" w:cs="宋体" w:hint="eastAsia"/>
          <w:color w:val="666666"/>
          <w:kern w:val="0"/>
          <w:sz w:val="23"/>
          <w:szCs w:val="23"/>
          <w:bdr w:val="none" w:sz="0" w:space="0" w:color="auto" w:frame="1"/>
        </w:rPr>
        <w:t>发布时间：2018-11-07</w:t>
      </w:r>
      <w:r w:rsidRPr="00A00331">
        <w:rPr>
          <w:rFonts w:ascii="微软雅黑" w:eastAsia="微软雅黑" w:hAnsi="微软雅黑" w:cs="宋体" w:hint="eastAsia"/>
          <w:color w:val="666666"/>
          <w:kern w:val="0"/>
          <w:sz w:val="23"/>
          <w:szCs w:val="23"/>
        </w:rPr>
        <w:t> </w:t>
      </w:r>
      <w:r w:rsidRPr="00A00331">
        <w:rPr>
          <w:rFonts w:ascii="微软雅黑" w:eastAsia="微软雅黑" w:hAnsi="微软雅黑" w:cs="宋体" w:hint="eastAsia"/>
          <w:color w:val="666666"/>
          <w:kern w:val="0"/>
          <w:sz w:val="23"/>
          <w:szCs w:val="23"/>
          <w:bdr w:val="none" w:sz="0" w:space="0" w:color="auto" w:frame="1"/>
        </w:rPr>
        <w:t>字体：[ </w:t>
      </w:r>
      <w:hyperlink r:id="rId4" w:history="1">
        <w:r w:rsidRPr="00A00331">
          <w:rPr>
            <w:rFonts w:ascii="微软雅黑" w:eastAsia="微软雅黑" w:hAnsi="微软雅黑" w:cs="宋体" w:hint="eastAsia"/>
            <w:color w:val="666666"/>
            <w:kern w:val="0"/>
            <w:sz w:val="23"/>
            <w:szCs w:val="23"/>
            <w:u w:val="single"/>
            <w:bdr w:val="none" w:sz="0" w:space="0" w:color="auto" w:frame="1"/>
          </w:rPr>
          <w:t>大</w:t>
        </w:r>
      </w:hyperlink>
      <w:r w:rsidRPr="00A00331">
        <w:rPr>
          <w:rFonts w:ascii="微软雅黑" w:eastAsia="微软雅黑" w:hAnsi="微软雅黑" w:cs="宋体" w:hint="eastAsia"/>
          <w:color w:val="666666"/>
          <w:kern w:val="0"/>
          <w:sz w:val="23"/>
          <w:szCs w:val="23"/>
          <w:bdr w:val="none" w:sz="0" w:space="0" w:color="auto" w:frame="1"/>
        </w:rPr>
        <w:t> </w:t>
      </w:r>
      <w:hyperlink r:id="rId5" w:history="1">
        <w:r w:rsidRPr="00A00331">
          <w:rPr>
            <w:rFonts w:ascii="微软雅黑" w:eastAsia="微软雅黑" w:hAnsi="微软雅黑" w:cs="宋体" w:hint="eastAsia"/>
            <w:color w:val="666666"/>
            <w:kern w:val="0"/>
            <w:sz w:val="23"/>
            <w:szCs w:val="23"/>
            <w:u w:val="single"/>
            <w:bdr w:val="none" w:sz="0" w:space="0" w:color="auto" w:frame="1"/>
          </w:rPr>
          <w:t>中</w:t>
        </w:r>
      </w:hyperlink>
      <w:r w:rsidRPr="00A00331">
        <w:rPr>
          <w:rFonts w:ascii="微软雅黑" w:eastAsia="微软雅黑" w:hAnsi="微软雅黑" w:cs="宋体" w:hint="eastAsia"/>
          <w:color w:val="666666"/>
          <w:kern w:val="0"/>
          <w:sz w:val="23"/>
          <w:szCs w:val="23"/>
          <w:bdr w:val="none" w:sz="0" w:space="0" w:color="auto" w:frame="1"/>
        </w:rPr>
        <w:t> </w:t>
      </w:r>
      <w:hyperlink r:id="rId6" w:history="1">
        <w:r w:rsidRPr="00A00331">
          <w:rPr>
            <w:rFonts w:ascii="微软雅黑" w:eastAsia="微软雅黑" w:hAnsi="微软雅黑" w:cs="宋体" w:hint="eastAsia"/>
            <w:color w:val="666666"/>
            <w:kern w:val="0"/>
            <w:sz w:val="23"/>
            <w:szCs w:val="23"/>
            <w:u w:val="single"/>
            <w:bdr w:val="none" w:sz="0" w:space="0" w:color="auto" w:frame="1"/>
          </w:rPr>
          <w:t>小</w:t>
        </w:r>
      </w:hyperlink>
      <w:r w:rsidRPr="00A00331">
        <w:rPr>
          <w:rFonts w:ascii="微软雅黑" w:eastAsia="微软雅黑" w:hAnsi="微软雅黑" w:cs="宋体" w:hint="eastAsia"/>
          <w:color w:val="666666"/>
          <w:kern w:val="0"/>
          <w:sz w:val="23"/>
          <w:szCs w:val="23"/>
          <w:bdr w:val="none" w:sz="0" w:space="0" w:color="auto" w:frame="1"/>
        </w:rPr>
        <w:t> ]</w:t>
      </w:r>
    </w:p>
    <w:p w14:paraId="2A44EE2B" w14:textId="77777777" w:rsidR="00A00331" w:rsidRPr="00A00331" w:rsidRDefault="00A00331" w:rsidP="00A00331">
      <w:pPr>
        <w:widowControl/>
        <w:spacing w:line="525" w:lineRule="atLeast"/>
        <w:jc w:val="left"/>
        <w:rPr>
          <w:rFonts w:ascii="微软雅黑" w:eastAsia="微软雅黑" w:hAnsi="微软雅黑" w:cs="宋体" w:hint="eastAsia"/>
          <w:color w:val="333333"/>
          <w:kern w:val="0"/>
          <w:sz w:val="24"/>
          <w:szCs w:val="24"/>
        </w:rPr>
      </w:pPr>
      <w:r w:rsidRPr="00A00331">
        <w:rPr>
          <w:rFonts w:ascii="微软雅黑" w:eastAsia="微软雅黑" w:hAnsi="微软雅黑" w:cs="宋体" w:hint="eastAsia"/>
          <w:color w:val="333333"/>
          <w:kern w:val="0"/>
          <w:sz w:val="24"/>
          <w:szCs w:val="24"/>
          <w:bdr w:val="none" w:sz="0" w:space="0" w:color="auto" w:frame="1"/>
        </w:rPr>
        <w:t>各县（市）、区人民政府，市经济技术开发区管委会，苏通科技产业园区管委会，通州湾示范区管委会，市各有关部门和单位：</w:t>
      </w:r>
    </w:p>
    <w:p w14:paraId="3171AD61" w14:textId="77777777" w:rsidR="00A00331" w:rsidRPr="00A00331" w:rsidRDefault="00A00331" w:rsidP="00A00331">
      <w:pPr>
        <w:widowControl/>
        <w:spacing w:line="525" w:lineRule="atLeast"/>
        <w:ind w:firstLine="480"/>
        <w:jc w:val="left"/>
        <w:rPr>
          <w:rFonts w:ascii="微软雅黑" w:eastAsia="微软雅黑" w:hAnsi="微软雅黑" w:cs="宋体" w:hint="eastAsia"/>
          <w:color w:val="333333"/>
          <w:kern w:val="0"/>
          <w:sz w:val="24"/>
          <w:szCs w:val="24"/>
        </w:rPr>
      </w:pPr>
      <w:r w:rsidRPr="00A00331">
        <w:rPr>
          <w:rFonts w:ascii="微软雅黑" w:eastAsia="微软雅黑" w:hAnsi="微软雅黑" w:cs="宋体" w:hint="eastAsia"/>
          <w:color w:val="333333"/>
          <w:kern w:val="0"/>
          <w:sz w:val="24"/>
          <w:szCs w:val="24"/>
        </w:rPr>
        <w:t>为全面贯彻落实党的十九大精神，加快构建开放型经济新格局，进一步优化营商环境，更加积极有效利用外资，实现以高水平开放推动经济高质量发展，现提出以下意见。</w:t>
      </w:r>
    </w:p>
    <w:p w14:paraId="71154032" w14:textId="77777777" w:rsidR="00A00331" w:rsidRPr="00A00331" w:rsidRDefault="00A00331" w:rsidP="00A00331">
      <w:pPr>
        <w:widowControl/>
        <w:spacing w:line="525" w:lineRule="atLeast"/>
        <w:ind w:firstLine="480"/>
        <w:jc w:val="left"/>
        <w:rPr>
          <w:rFonts w:ascii="微软雅黑" w:eastAsia="微软雅黑" w:hAnsi="微软雅黑" w:cs="宋体" w:hint="eastAsia"/>
          <w:color w:val="333333"/>
          <w:kern w:val="0"/>
          <w:sz w:val="24"/>
          <w:szCs w:val="24"/>
        </w:rPr>
      </w:pPr>
      <w:r w:rsidRPr="00A00331">
        <w:rPr>
          <w:rFonts w:ascii="微软雅黑" w:eastAsia="微软雅黑" w:hAnsi="微软雅黑" w:cs="宋体" w:hint="eastAsia"/>
          <w:color w:val="333333"/>
          <w:kern w:val="0"/>
          <w:sz w:val="24"/>
          <w:szCs w:val="24"/>
        </w:rPr>
        <w:t>一、鼓励引进重大外资项目。对市区新引进（含增资）总投资3亿美元以上（含本数，下同）的鼓励类外资制造业项目，或世界500强、全球行业排名前10名的跨国公司投资的总投资1亿美元以上的制造业项目，市、区两级财</w:t>
      </w:r>
      <w:r w:rsidRPr="00A00331">
        <w:rPr>
          <w:rFonts w:ascii="微软雅黑" w:eastAsia="微软雅黑" w:hAnsi="微软雅黑" w:cs="宋体" w:hint="eastAsia"/>
          <w:color w:val="333333"/>
          <w:kern w:val="0"/>
          <w:sz w:val="24"/>
          <w:szCs w:val="24"/>
        </w:rPr>
        <w:lastRenderedPageBreak/>
        <w:t>政按企业投产后对地方的贡献给予专项奖励；购买并使用、生产工艺及效率高于同行业平均水平的进口设备，市、区两级财政最高可按设备采购额的5%予以补贴。支持项目属地政府通过建设人才公寓、住房补贴等多种形式</w:t>
      </w:r>
      <w:proofErr w:type="gramStart"/>
      <w:r w:rsidRPr="00A00331">
        <w:rPr>
          <w:rFonts w:ascii="微软雅黑" w:eastAsia="微软雅黑" w:hAnsi="微软雅黑" w:cs="宋体" w:hint="eastAsia"/>
          <w:color w:val="333333"/>
          <w:kern w:val="0"/>
          <w:sz w:val="24"/>
          <w:szCs w:val="24"/>
        </w:rPr>
        <w:t>满足重</w:t>
      </w:r>
      <w:proofErr w:type="gramEnd"/>
      <w:r w:rsidRPr="00A00331">
        <w:rPr>
          <w:rFonts w:ascii="微软雅黑" w:eastAsia="微软雅黑" w:hAnsi="微软雅黑" w:cs="宋体" w:hint="eastAsia"/>
          <w:color w:val="333333"/>
          <w:kern w:val="0"/>
          <w:sz w:val="24"/>
          <w:szCs w:val="24"/>
        </w:rPr>
        <w:t>特大项目高层次人才住房需求。（责任单位：市财政局、商务局）</w:t>
      </w:r>
    </w:p>
    <w:p w14:paraId="574CB5D3" w14:textId="77777777" w:rsidR="00A00331" w:rsidRPr="00A00331" w:rsidRDefault="00A00331" w:rsidP="00A00331">
      <w:pPr>
        <w:widowControl/>
        <w:spacing w:line="525" w:lineRule="atLeast"/>
        <w:ind w:firstLine="480"/>
        <w:jc w:val="left"/>
        <w:rPr>
          <w:rFonts w:ascii="微软雅黑" w:eastAsia="微软雅黑" w:hAnsi="微软雅黑" w:cs="宋体" w:hint="eastAsia"/>
          <w:color w:val="333333"/>
          <w:kern w:val="0"/>
          <w:sz w:val="24"/>
          <w:szCs w:val="24"/>
        </w:rPr>
      </w:pPr>
      <w:r w:rsidRPr="00A00331">
        <w:rPr>
          <w:rFonts w:ascii="微软雅黑" w:eastAsia="微软雅黑" w:hAnsi="微软雅黑" w:cs="宋体" w:hint="eastAsia"/>
          <w:color w:val="333333"/>
          <w:kern w:val="0"/>
          <w:sz w:val="24"/>
          <w:szCs w:val="24"/>
        </w:rPr>
        <w:t>二、加快利用外资转型升级。按照江苏省战略性新兴产业发展的方向，鼓励外资投向新一代信息技术、生物技术和新医药、高端装备制造、新材料、海洋装备、新能源与新能源汽车、节能环保、数字创意等新兴产业领域。对市区新引进的战略性新兴产业项目，亩均投资强度350万元人民币以上，购买并使用、生产工艺及效率高于同行业平均水平的进口设备，市、区两级财政最高可按设备采购额的8%予以补贴。市区现有外商投资企业增资扩股新上项目参照执行。外商投资企业同等适用研发费用加计扣除、高新技术企业、研发中心等优惠政策。依法对经过批准的外资研发中心进口科学研究、科技开发的自用物品免征关税和进口环节增值税，采购国产设备全额退还增值税。对</w:t>
      </w:r>
      <w:proofErr w:type="gramStart"/>
      <w:r w:rsidRPr="00A00331">
        <w:rPr>
          <w:rFonts w:ascii="微软雅黑" w:eastAsia="微软雅黑" w:hAnsi="微软雅黑" w:cs="宋体" w:hint="eastAsia"/>
          <w:color w:val="333333"/>
          <w:kern w:val="0"/>
          <w:sz w:val="24"/>
          <w:szCs w:val="24"/>
        </w:rPr>
        <w:t>市区获</w:t>
      </w:r>
      <w:proofErr w:type="gramEnd"/>
      <w:r w:rsidRPr="00A00331">
        <w:rPr>
          <w:rFonts w:ascii="微软雅黑" w:eastAsia="微软雅黑" w:hAnsi="微软雅黑" w:cs="宋体" w:hint="eastAsia"/>
          <w:color w:val="333333"/>
          <w:kern w:val="0"/>
          <w:sz w:val="24"/>
          <w:szCs w:val="24"/>
        </w:rPr>
        <w:t>江苏省跨国公司地区总部及功能性机构认定的项目，财政部门在省财政奖励资金的基础上进一步给予30%的配套资金支持。（责任单位：</w:t>
      </w:r>
      <w:proofErr w:type="gramStart"/>
      <w:r w:rsidRPr="00A00331">
        <w:rPr>
          <w:rFonts w:ascii="微软雅黑" w:eastAsia="微软雅黑" w:hAnsi="微软雅黑" w:cs="宋体" w:hint="eastAsia"/>
          <w:color w:val="333333"/>
          <w:kern w:val="0"/>
          <w:sz w:val="24"/>
          <w:szCs w:val="24"/>
        </w:rPr>
        <w:t>市发改委</w:t>
      </w:r>
      <w:proofErr w:type="gramEnd"/>
      <w:r w:rsidRPr="00A00331">
        <w:rPr>
          <w:rFonts w:ascii="微软雅黑" w:eastAsia="微软雅黑" w:hAnsi="微软雅黑" w:cs="宋体" w:hint="eastAsia"/>
          <w:color w:val="333333"/>
          <w:kern w:val="0"/>
          <w:sz w:val="24"/>
          <w:szCs w:val="24"/>
        </w:rPr>
        <w:t>、经信委、科技局、财政局、商务局、税务局、南通海关）</w:t>
      </w:r>
    </w:p>
    <w:p w14:paraId="34E83CA4" w14:textId="77777777" w:rsidR="00A00331" w:rsidRPr="00A00331" w:rsidRDefault="00A00331" w:rsidP="00A00331">
      <w:pPr>
        <w:widowControl/>
        <w:spacing w:line="525" w:lineRule="atLeast"/>
        <w:ind w:firstLine="480"/>
        <w:jc w:val="left"/>
        <w:rPr>
          <w:rFonts w:ascii="微软雅黑" w:eastAsia="微软雅黑" w:hAnsi="微软雅黑" w:cs="宋体" w:hint="eastAsia"/>
          <w:color w:val="333333"/>
          <w:kern w:val="0"/>
          <w:sz w:val="24"/>
          <w:szCs w:val="24"/>
        </w:rPr>
      </w:pPr>
      <w:r w:rsidRPr="00A00331">
        <w:rPr>
          <w:rFonts w:ascii="微软雅黑" w:eastAsia="微软雅黑" w:hAnsi="微软雅黑" w:cs="宋体" w:hint="eastAsia"/>
          <w:color w:val="333333"/>
          <w:kern w:val="0"/>
          <w:sz w:val="24"/>
          <w:szCs w:val="24"/>
        </w:rPr>
        <w:t>三、积极引进国际化高端人才。对符合重大外资制造业企业，工薪收入超过50万元人民币（税前）并在市区缴纳个人所得税的国家“千人计划”专家、省“双创人才”、江海英才计划引进的创业创新人才、有特殊贡献的境内外高层次人才等视其对地方财政的贡献，自投产之日起3年内每年按不超过税前年薪收入总额的10%奖励企业，由企业全额用于对相关人才的各类补贴。上述企业招聘的大学本科以上学历的员工，取消落户限制。适当延长外商投资企</w:t>
      </w:r>
      <w:r w:rsidRPr="00A00331">
        <w:rPr>
          <w:rFonts w:ascii="微软雅黑" w:eastAsia="微软雅黑" w:hAnsi="微软雅黑" w:cs="宋体" w:hint="eastAsia"/>
          <w:color w:val="333333"/>
          <w:kern w:val="0"/>
          <w:sz w:val="24"/>
          <w:szCs w:val="24"/>
        </w:rPr>
        <w:lastRenderedPageBreak/>
        <w:t>业外籍高管最高就业年龄。对符合国家外国人来华工作分类标准的外国高端人才（A类），可不受年龄、学历和工作经历限制，实行“绿色通道”和“容缺受理”服务，办理最长5年有效期的工作许可和工作类居留签证。支持外商投资企业主要负责人参加“张謇杯”杰出企业家、“三名”年度人物评选。对列入国家、省、市高层次创新创业人才引进计划的海外人才子女，经认定的市级重大外资产业项目外籍及港、澳、台地区管理人员和技术骨干子女，为其义务教育阶段入学提供便利。（责任单位：市财政局、公安局、</w:t>
      </w:r>
      <w:proofErr w:type="gramStart"/>
      <w:r w:rsidRPr="00A00331">
        <w:rPr>
          <w:rFonts w:ascii="微软雅黑" w:eastAsia="微软雅黑" w:hAnsi="微软雅黑" w:cs="宋体" w:hint="eastAsia"/>
          <w:color w:val="333333"/>
          <w:kern w:val="0"/>
          <w:sz w:val="24"/>
          <w:szCs w:val="24"/>
        </w:rPr>
        <w:t>人社局</w:t>
      </w:r>
      <w:proofErr w:type="gramEnd"/>
      <w:r w:rsidRPr="00A00331">
        <w:rPr>
          <w:rFonts w:ascii="微软雅黑" w:eastAsia="微软雅黑" w:hAnsi="微软雅黑" w:cs="宋体" w:hint="eastAsia"/>
          <w:color w:val="333333"/>
          <w:kern w:val="0"/>
          <w:sz w:val="24"/>
          <w:szCs w:val="24"/>
        </w:rPr>
        <w:t>、市委组织部（人才办）、民发办、教育局）</w:t>
      </w:r>
    </w:p>
    <w:p w14:paraId="4C6B2303" w14:textId="77777777" w:rsidR="00A00331" w:rsidRPr="00A00331" w:rsidRDefault="00A00331" w:rsidP="00A00331">
      <w:pPr>
        <w:widowControl/>
        <w:spacing w:line="525" w:lineRule="atLeast"/>
        <w:ind w:firstLine="480"/>
        <w:jc w:val="left"/>
        <w:rPr>
          <w:rFonts w:ascii="微软雅黑" w:eastAsia="微软雅黑" w:hAnsi="微软雅黑" w:cs="宋体" w:hint="eastAsia"/>
          <w:color w:val="333333"/>
          <w:kern w:val="0"/>
          <w:sz w:val="24"/>
          <w:szCs w:val="24"/>
        </w:rPr>
      </w:pPr>
      <w:r w:rsidRPr="00A00331">
        <w:rPr>
          <w:rFonts w:ascii="微软雅黑" w:eastAsia="微软雅黑" w:hAnsi="微软雅黑" w:cs="宋体" w:hint="eastAsia"/>
          <w:color w:val="333333"/>
          <w:kern w:val="0"/>
          <w:sz w:val="24"/>
          <w:szCs w:val="24"/>
        </w:rPr>
        <w:t>四、加强项目用地支持。积极保障重大外资项目用地，对列入</w:t>
      </w:r>
      <w:proofErr w:type="gramStart"/>
      <w:r w:rsidRPr="00A00331">
        <w:rPr>
          <w:rFonts w:ascii="微软雅黑" w:eastAsia="微软雅黑" w:hAnsi="微软雅黑" w:cs="宋体" w:hint="eastAsia"/>
          <w:color w:val="333333"/>
          <w:kern w:val="0"/>
          <w:sz w:val="24"/>
          <w:szCs w:val="24"/>
        </w:rPr>
        <w:t>年度省</w:t>
      </w:r>
      <w:proofErr w:type="gramEnd"/>
      <w:r w:rsidRPr="00A00331">
        <w:rPr>
          <w:rFonts w:ascii="微软雅黑" w:eastAsia="微软雅黑" w:hAnsi="微软雅黑" w:cs="宋体" w:hint="eastAsia"/>
          <w:color w:val="333333"/>
          <w:kern w:val="0"/>
          <w:sz w:val="24"/>
          <w:szCs w:val="24"/>
        </w:rPr>
        <w:t>重大项目、市“双百工程”的外资项目优先配置用地计划指标。鼓励外资工业项目实行弹性出让、长期租赁、先租后让、租让结合等供地方式。外商投资企业租赁工业用地的，可凭与国土部门签订的土地租赁合同和缴款凭证办理规划、报建等手续；租赁期内，地上建筑物、构筑物及其附属设施经属地政府同意可以转租给符合产业发展要求的企业。对外商与政府共同投资建设的非营利性医疗、教育、文化、养老、体育等公共服务项目，可使用划拨土地的，允许采用国有建设用地作价出资或入股方式供应土地。（责任单位：市国土局、</w:t>
      </w:r>
      <w:proofErr w:type="gramStart"/>
      <w:r w:rsidRPr="00A00331">
        <w:rPr>
          <w:rFonts w:ascii="微软雅黑" w:eastAsia="微软雅黑" w:hAnsi="微软雅黑" w:cs="宋体" w:hint="eastAsia"/>
          <w:color w:val="333333"/>
          <w:kern w:val="0"/>
          <w:sz w:val="24"/>
          <w:szCs w:val="24"/>
        </w:rPr>
        <w:t>发改委</w:t>
      </w:r>
      <w:proofErr w:type="gramEnd"/>
      <w:r w:rsidRPr="00A00331">
        <w:rPr>
          <w:rFonts w:ascii="微软雅黑" w:eastAsia="微软雅黑" w:hAnsi="微软雅黑" w:cs="宋体" w:hint="eastAsia"/>
          <w:color w:val="333333"/>
          <w:kern w:val="0"/>
          <w:sz w:val="24"/>
          <w:szCs w:val="24"/>
        </w:rPr>
        <w:t>、商务局、科技局、规划局、行政审批局、建设局、卫计委、教育局、文广新局、民政局、体育局）</w:t>
      </w:r>
    </w:p>
    <w:p w14:paraId="452B1636" w14:textId="77777777" w:rsidR="00A00331" w:rsidRPr="00A00331" w:rsidRDefault="00A00331" w:rsidP="00A00331">
      <w:pPr>
        <w:widowControl/>
        <w:spacing w:line="525" w:lineRule="atLeast"/>
        <w:ind w:firstLine="480"/>
        <w:jc w:val="left"/>
        <w:rPr>
          <w:rFonts w:ascii="微软雅黑" w:eastAsia="微软雅黑" w:hAnsi="微软雅黑" w:cs="宋体" w:hint="eastAsia"/>
          <w:color w:val="333333"/>
          <w:kern w:val="0"/>
          <w:sz w:val="24"/>
          <w:szCs w:val="24"/>
        </w:rPr>
      </w:pPr>
      <w:r w:rsidRPr="00A00331">
        <w:rPr>
          <w:rFonts w:ascii="微软雅黑" w:eastAsia="微软雅黑" w:hAnsi="微软雅黑" w:cs="宋体" w:hint="eastAsia"/>
          <w:color w:val="333333"/>
          <w:kern w:val="0"/>
          <w:sz w:val="24"/>
          <w:szCs w:val="24"/>
        </w:rPr>
        <w:t>五、优化配置存量资源。加大对闲置土地的处理力度，落实国土资源部关于《闲置土地处置办法》的有关规定，提升资源使用效率。外商投资企业工业物业产权和跨国公司总部自建办公物业产权，允许以幢、层等固定界限为不动产单元分割登记和转让，用于引进产业</w:t>
      </w:r>
      <w:proofErr w:type="gramStart"/>
      <w:r w:rsidRPr="00A00331">
        <w:rPr>
          <w:rFonts w:ascii="微软雅黑" w:eastAsia="微软雅黑" w:hAnsi="微软雅黑" w:cs="宋体" w:hint="eastAsia"/>
          <w:color w:val="333333"/>
          <w:kern w:val="0"/>
          <w:sz w:val="24"/>
          <w:szCs w:val="24"/>
        </w:rPr>
        <w:t>链合作</w:t>
      </w:r>
      <w:proofErr w:type="gramEnd"/>
      <w:r w:rsidRPr="00A00331">
        <w:rPr>
          <w:rFonts w:ascii="微软雅黑" w:eastAsia="微软雅黑" w:hAnsi="微软雅黑" w:cs="宋体" w:hint="eastAsia"/>
          <w:color w:val="333333"/>
          <w:kern w:val="0"/>
          <w:sz w:val="24"/>
          <w:szCs w:val="24"/>
        </w:rPr>
        <w:t>伙伴项目，其中跨国公司总部自</w:t>
      </w:r>
      <w:r w:rsidRPr="00A00331">
        <w:rPr>
          <w:rFonts w:ascii="微软雅黑" w:eastAsia="微软雅黑" w:hAnsi="微软雅黑" w:cs="宋体" w:hint="eastAsia"/>
          <w:color w:val="333333"/>
          <w:kern w:val="0"/>
          <w:sz w:val="24"/>
          <w:szCs w:val="24"/>
        </w:rPr>
        <w:lastRenderedPageBreak/>
        <w:t>建办公物业累计分割登记和转让面积不得超过总建筑面积的40%。对外资企业符合规划和安全要求，不改变用途的前提下可在原有建设用地进行厂房改造，增加用地容积率的，不再增收土地价款。利用存量工业房产发展生产性服务业的外商投资企业，可在5年内继续按原用途和土地权利类型使用土地，5年期满或涉及转让需办理相关用地手续的，可按新用途、</w:t>
      </w:r>
      <w:proofErr w:type="gramStart"/>
      <w:r w:rsidRPr="00A00331">
        <w:rPr>
          <w:rFonts w:ascii="微软雅黑" w:eastAsia="微软雅黑" w:hAnsi="微软雅黑" w:cs="宋体" w:hint="eastAsia"/>
          <w:color w:val="333333"/>
          <w:kern w:val="0"/>
          <w:sz w:val="24"/>
          <w:szCs w:val="24"/>
        </w:rPr>
        <w:t>新权利</w:t>
      </w:r>
      <w:proofErr w:type="gramEnd"/>
      <w:r w:rsidRPr="00A00331">
        <w:rPr>
          <w:rFonts w:ascii="微软雅黑" w:eastAsia="微软雅黑" w:hAnsi="微软雅黑" w:cs="宋体" w:hint="eastAsia"/>
          <w:color w:val="333333"/>
          <w:kern w:val="0"/>
          <w:sz w:val="24"/>
          <w:szCs w:val="24"/>
        </w:rPr>
        <w:t>类型及市场价，以协议方式办理。（责任单位：市国土局、行政审批局、</w:t>
      </w:r>
      <w:proofErr w:type="gramStart"/>
      <w:r w:rsidRPr="00A00331">
        <w:rPr>
          <w:rFonts w:ascii="微软雅黑" w:eastAsia="微软雅黑" w:hAnsi="微软雅黑" w:cs="宋体" w:hint="eastAsia"/>
          <w:color w:val="333333"/>
          <w:kern w:val="0"/>
          <w:sz w:val="24"/>
          <w:szCs w:val="24"/>
        </w:rPr>
        <w:t>发改委</w:t>
      </w:r>
      <w:proofErr w:type="gramEnd"/>
      <w:r w:rsidRPr="00A00331">
        <w:rPr>
          <w:rFonts w:ascii="微软雅黑" w:eastAsia="微软雅黑" w:hAnsi="微软雅黑" w:cs="宋体" w:hint="eastAsia"/>
          <w:color w:val="333333"/>
          <w:kern w:val="0"/>
          <w:sz w:val="24"/>
          <w:szCs w:val="24"/>
        </w:rPr>
        <w:t>、规划局、房管局、商务局、科技局、公安局）</w:t>
      </w:r>
    </w:p>
    <w:p w14:paraId="20FFF394" w14:textId="77777777" w:rsidR="00A00331" w:rsidRPr="00A00331" w:rsidRDefault="00A00331" w:rsidP="00A00331">
      <w:pPr>
        <w:widowControl/>
        <w:spacing w:line="525" w:lineRule="atLeast"/>
        <w:ind w:firstLine="480"/>
        <w:jc w:val="left"/>
        <w:rPr>
          <w:rFonts w:ascii="微软雅黑" w:eastAsia="微软雅黑" w:hAnsi="微软雅黑" w:cs="宋体" w:hint="eastAsia"/>
          <w:color w:val="333333"/>
          <w:kern w:val="0"/>
          <w:sz w:val="24"/>
          <w:szCs w:val="24"/>
        </w:rPr>
      </w:pPr>
      <w:r w:rsidRPr="00A00331">
        <w:rPr>
          <w:rFonts w:ascii="微软雅黑" w:eastAsia="微软雅黑" w:hAnsi="微软雅黑" w:cs="宋体" w:hint="eastAsia"/>
          <w:color w:val="333333"/>
          <w:kern w:val="0"/>
          <w:sz w:val="24"/>
          <w:szCs w:val="24"/>
        </w:rPr>
        <w:t>六、降低企业经营成本。落实《南通市工业企业资源利用绩效综合评价办法（试行）》，以企业综合评价和科学分类为基础，研究制订差别化措施，加大对亩均产出和税收高的外资企业减负降本的支持力度。对照《国务院关于在市场体系建设中建立公平竞争审查制度的意见》（国发〔2016〕34号）和《关于印发〈公平竞争审查制度实施细则（暂行）〉的通知》（</w:t>
      </w:r>
      <w:proofErr w:type="gramStart"/>
      <w:r w:rsidRPr="00A00331">
        <w:rPr>
          <w:rFonts w:ascii="微软雅黑" w:eastAsia="微软雅黑" w:hAnsi="微软雅黑" w:cs="宋体" w:hint="eastAsia"/>
          <w:color w:val="333333"/>
          <w:kern w:val="0"/>
          <w:sz w:val="24"/>
          <w:szCs w:val="24"/>
        </w:rPr>
        <w:t>发改价监</w:t>
      </w:r>
      <w:proofErr w:type="gramEnd"/>
      <w:r w:rsidRPr="00A00331">
        <w:rPr>
          <w:rFonts w:ascii="微软雅黑" w:eastAsia="微软雅黑" w:hAnsi="微软雅黑" w:cs="宋体" w:hint="eastAsia"/>
          <w:color w:val="333333"/>
          <w:kern w:val="0"/>
          <w:sz w:val="24"/>
          <w:szCs w:val="24"/>
        </w:rPr>
        <w:t>〔2017〕1849号），对相关政策实施公平竞争审查。支持外商投资企业科学用工，通过订立以完成一定工作任务为期限的劳动合同、短期固定期限劳动合同满足灵活用工需求。完善外商投资企业申请实行综合计算工时工作制和不定时工作制的审批流程，审批时限压缩至2个工作日。（责任单位：市经信委、建设局、物价局、</w:t>
      </w:r>
      <w:proofErr w:type="gramStart"/>
      <w:r w:rsidRPr="00A00331">
        <w:rPr>
          <w:rFonts w:ascii="微软雅黑" w:eastAsia="微软雅黑" w:hAnsi="微软雅黑" w:cs="宋体" w:hint="eastAsia"/>
          <w:color w:val="333333"/>
          <w:kern w:val="0"/>
          <w:sz w:val="24"/>
          <w:szCs w:val="24"/>
        </w:rPr>
        <w:t>人社局</w:t>
      </w:r>
      <w:proofErr w:type="gramEnd"/>
      <w:r w:rsidRPr="00A00331">
        <w:rPr>
          <w:rFonts w:ascii="微软雅黑" w:eastAsia="微软雅黑" w:hAnsi="微软雅黑" w:cs="宋体" w:hint="eastAsia"/>
          <w:color w:val="333333"/>
          <w:kern w:val="0"/>
          <w:sz w:val="24"/>
          <w:szCs w:val="24"/>
        </w:rPr>
        <w:t>）</w:t>
      </w:r>
    </w:p>
    <w:p w14:paraId="16304611" w14:textId="77777777" w:rsidR="00A00331" w:rsidRPr="00A00331" w:rsidRDefault="00A00331" w:rsidP="00A00331">
      <w:pPr>
        <w:widowControl/>
        <w:spacing w:line="525" w:lineRule="atLeast"/>
        <w:ind w:firstLine="480"/>
        <w:jc w:val="left"/>
        <w:rPr>
          <w:rFonts w:ascii="微软雅黑" w:eastAsia="微软雅黑" w:hAnsi="微软雅黑" w:cs="宋体" w:hint="eastAsia"/>
          <w:color w:val="333333"/>
          <w:kern w:val="0"/>
          <w:sz w:val="24"/>
          <w:szCs w:val="24"/>
        </w:rPr>
      </w:pPr>
      <w:r w:rsidRPr="00A00331">
        <w:rPr>
          <w:rFonts w:ascii="微软雅黑" w:eastAsia="微软雅黑" w:hAnsi="微软雅黑" w:cs="宋体" w:hint="eastAsia"/>
          <w:color w:val="333333"/>
          <w:kern w:val="0"/>
          <w:sz w:val="24"/>
          <w:szCs w:val="24"/>
        </w:rPr>
        <w:t>七、加大改革试点推进力度。推进“区域能评、环评+区块能耗、环境标准”覆盖项目能评、环</w:t>
      </w:r>
      <w:proofErr w:type="gramStart"/>
      <w:r w:rsidRPr="00A00331">
        <w:rPr>
          <w:rFonts w:ascii="微软雅黑" w:eastAsia="微软雅黑" w:hAnsi="微软雅黑" w:cs="宋体" w:hint="eastAsia"/>
          <w:color w:val="333333"/>
          <w:kern w:val="0"/>
          <w:sz w:val="24"/>
          <w:szCs w:val="24"/>
        </w:rPr>
        <w:t>评试点</w:t>
      </w:r>
      <w:proofErr w:type="gramEnd"/>
      <w:r w:rsidRPr="00A00331">
        <w:rPr>
          <w:rFonts w:ascii="微软雅黑" w:eastAsia="微软雅黑" w:hAnsi="微软雅黑" w:cs="宋体" w:hint="eastAsia"/>
          <w:color w:val="333333"/>
          <w:kern w:val="0"/>
          <w:sz w:val="24"/>
          <w:szCs w:val="24"/>
        </w:rPr>
        <w:t>工作，积极争取扩大试点覆盖范围，复制推广试点经验成果。推进南通经济技术开发区开展“企业投资项目信用承诺制、不再审批并严格监管试点”，探索创新以政策性条件引导、企业信用承诺、监管有效约束为核心的管理模式。推进南通综合保税区申报增值税一般纳税人资格试</w:t>
      </w:r>
      <w:r w:rsidRPr="00A00331">
        <w:rPr>
          <w:rFonts w:ascii="微软雅黑" w:eastAsia="微软雅黑" w:hAnsi="微软雅黑" w:cs="宋体" w:hint="eastAsia"/>
          <w:color w:val="333333"/>
          <w:kern w:val="0"/>
          <w:sz w:val="24"/>
          <w:szCs w:val="24"/>
        </w:rPr>
        <w:lastRenderedPageBreak/>
        <w:t>点。（责任单位：市商务局、编办、</w:t>
      </w:r>
      <w:proofErr w:type="gramStart"/>
      <w:r w:rsidRPr="00A00331">
        <w:rPr>
          <w:rFonts w:ascii="微软雅黑" w:eastAsia="微软雅黑" w:hAnsi="微软雅黑" w:cs="宋体" w:hint="eastAsia"/>
          <w:color w:val="333333"/>
          <w:kern w:val="0"/>
          <w:sz w:val="24"/>
          <w:szCs w:val="24"/>
        </w:rPr>
        <w:t>发改委</w:t>
      </w:r>
      <w:proofErr w:type="gramEnd"/>
      <w:r w:rsidRPr="00A00331">
        <w:rPr>
          <w:rFonts w:ascii="微软雅黑" w:eastAsia="微软雅黑" w:hAnsi="微软雅黑" w:cs="宋体" w:hint="eastAsia"/>
          <w:color w:val="333333"/>
          <w:kern w:val="0"/>
          <w:sz w:val="24"/>
          <w:szCs w:val="24"/>
        </w:rPr>
        <w:t>、经信委、环保局、行政审批局，税务局、南通海关）</w:t>
      </w:r>
    </w:p>
    <w:p w14:paraId="54FCB0B9" w14:textId="77777777" w:rsidR="00A00331" w:rsidRPr="00A00331" w:rsidRDefault="00A00331" w:rsidP="00A00331">
      <w:pPr>
        <w:widowControl/>
        <w:spacing w:line="525" w:lineRule="atLeast"/>
        <w:ind w:firstLine="480"/>
        <w:jc w:val="left"/>
        <w:rPr>
          <w:rFonts w:ascii="微软雅黑" w:eastAsia="微软雅黑" w:hAnsi="微软雅黑" w:cs="宋体" w:hint="eastAsia"/>
          <w:color w:val="333333"/>
          <w:kern w:val="0"/>
          <w:sz w:val="24"/>
          <w:szCs w:val="24"/>
        </w:rPr>
      </w:pPr>
      <w:r w:rsidRPr="00A00331">
        <w:rPr>
          <w:rFonts w:ascii="微软雅黑" w:eastAsia="微软雅黑" w:hAnsi="微软雅黑" w:cs="宋体" w:hint="eastAsia"/>
          <w:color w:val="333333"/>
          <w:kern w:val="0"/>
          <w:sz w:val="24"/>
          <w:szCs w:val="24"/>
        </w:rPr>
        <w:t>八、持续优化营商环境。严格执行国家政策法规，不得擅自增加对外商投资企业的限制。加强涉外部门信息的互联互通，按企业诚信度实施分类服务。增强城市包容性，创造国际化的工作和生活环境。强化政府信息公开，打造诚信政府；规范招商引资行为，各级政府依法</w:t>
      </w:r>
      <w:proofErr w:type="gramStart"/>
      <w:r w:rsidRPr="00A00331">
        <w:rPr>
          <w:rFonts w:ascii="微软雅黑" w:eastAsia="微软雅黑" w:hAnsi="微软雅黑" w:cs="宋体" w:hint="eastAsia"/>
          <w:color w:val="333333"/>
          <w:kern w:val="0"/>
          <w:sz w:val="24"/>
          <w:szCs w:val="24"/>
        </w:rPr>
        <w:t>作出</w:t>
      </w:r>
      <w:proofErr w:type="gramEnd"/>
      <w:r w:rsidRPr="00A00331">
        <w:rPr>
          <w:rFonts w:ascii="微软雅黑" w:eastAsia="微软雅黑" w:hAnsi="微软雅黑" w:cs="宋体" w:hint="eastAsia"/>
          <w:color w:val="333333"/>
          <w:kern w:val="0"/>
          <w:sz w:val="24"/>
          <w:szCs w:val="24"/>
        </w:rPr>
        <w:t>的承诺和优惠政策，要按照合同约定条款全面高效履行。建立重大外资项目“预审+代办”工作机制，</w:t>
      </w:r>
      <w:proofErr w:type="gramStart"/>
      <w:r w:rsidRPr="00A00331">
        <w:rPr>
          <w:rFonts w:ascii="微软雅黑" w:eastAsia="微软雅黑" w:hAnsi="微软雅黑" w:cs="宋体" w:hint="eastAsia"/>
          <w:color w:val="333333"/>
          <w:kern w:val="0"/>
          <w:sz w:val="24"/>
          <w:szCs w:val="24"/>
        </w:rPr>
        <w:t>完善多评合一</w:t>
      </w:r>
      <w:proofErr w:type="gramEnd"/>
      <w:r w:rsidRPr="00A00331">
        <w:rPr>
          <w:rFonts w:ascii="微软雅黑" w:eastAsia="微软雅黑" w:hAnsi="微软雅黑" w:cs="宋体" w:hint="eastAsia"/>
          <w:color w:val="333333"/>
          <w:kern w:val="0"/>
          <w:sz w:val="24"/>
          <w:szCs w:val="24"/>
        </w:rPr>
        <w:t>、多图联审机制，全面提升行政审批效能。完善市、县（市、区）外商投诉受理机制，依法保护外商投资企业及其股东合法权益。（责任单位：市行政审批局、商务局、法制办）</w:t>
      </w:r>
    </w:p>
    <w:p w14:paraId="7D148C09" w14:textId="77777777" w:rsidR="00A00331" w:rsidRPr="00A00331" w:rsidRDefault="00A00331" w:rsidP="00A00331">
      <w:pPr>
        <w:widowControl/>
        <w:spacing w:line="525" w:lineRule="atLeast"/>
        <w:ind w:firstLine="480"/>
        <w:jc w:val="left"/>
        <w:rPr>
          <w:rFonts w:ascii="微软雅黑" w:eastAsia="微软雅黑" w:hAnsi="微软雅黑" w:cs="宋体" w:hint="eastAsia"/>
          <w:color w:val="333333"/>
          <w:kern w:val="0"/>
          <w:sz w:val="24"/>
          <w:szCs w:val="24"/>
        </w:rPr>
      </w:pPr>
      <w:r w:rsidRPr="00A00331">
        <w:rPr>
          <w:rFonts w:ascii="微软雅黑" w:eastAsia="微软雅黑" w:hAnsi="微软雅黑" w:cs="宋体" w:hint="eastAsia"/>
          <w:color w:val="333333"/>
          <w:kern w:val="0"/>
          <w:sz w:val="24"/>
          <w:szCs w:val="24"/>
        </w:rPr>
        <w:t>九、完善利用外资组织机制。建立利用外资联席会议制度，由分管副市长担任总召集人，定期研究全市招商引资与利用外资工作重大问题，加大对全市利用外资工作的组织领导和综合协调。协调解决重大外资项目推进过程中存在的突出困难，落实部门间协同配合的重要事项，着力促进重大项目落户、建设并投产运营。联席会议办公室设在市商务局。强化利用外资的考核评价，对利用外资工作成绩显著的县（市、区）、开发园区、全市出口和税收名列前茅的外商投资企业给予表彰，努力形成全市利用外资工作的良好氛围。（责任单位：市商务局、行政审批局、项目建设协调推进办公室）</w:t>
      </w:r>
    </w:p>
    <w:p w14:paraId="184D2584" w14:textId="77777777" w:rsidR="00A00331" w:rsidRPr="00A00331" w:rsidRDefault="00A00331" w:rsidP="00A00331">
      <w:pPr>
        <w:widowControl/>
        <w:spacing w:line="525" w:lineRule="atLeast"/>
        <w:ind w:firstLine="480"/>
        <w:jc w:val="left"/>
        <w:rPr>
          <w:rFonts w:ascii="微软雅黑" w:eastAsia="微软雅黑" w:hAnsi="微软雅黑" w:cs="宋体" w:hint="eastAsia"/>
          <w:color w:val="333333"/>
          <w:kern w:val="0"/>
          <w:sz w:val="24"/>
          <w:szCs w:val="24"/>
        </w:rPr>
      </w:pPr>
      <w:r w:rsidRPr="00A00331">
        <w:rPr>
          <w:rFonts w:ascii="微软雅黑" w:eastAsia="微软雅黑" w:hAnsi="微软雅黑" w:cs="宋体" w:hint="eastAsia"/>
          <w:color w:val="333333"/>
          <w:kern w:val="0"/>
          <w:sz w:val="24"/>
          <w:szCs w:val="24"/>
        </w:rPr>
        <w:t>十、加强招商引资专业化建设。谋划在市级层面组建专业投资促进机构，借鉴市场化招商模式，实施企业化考核激励。鼓励省级以上开发区、高新区设立公司化、专业化、社会化的招商机构，研究出台市场化的招商人员优选机制和招商引资激励政策。对服务重大招商引资项目的出国（境）团组，根据实际</w:t>
      </w:r>
      <w:r w:rsidRPr="00A00331">
        <w:rPr>
          <w:rFonts w:ascii="微软雅黑" w:eastAsia="微软雅黑" w:hAnsi="微软雅黑" w:cs="宋体" w:hint="eastAsia"/>
          <w:color w:val="333333"/>
          <w:kern w:val="0"/>
          <w:sz w:val="24"/>
          <w:szCs w:val="24"/>
        </w:rPr>
        <w:lastRenderedPageBreak/>
        <w:t>需要优先办理。境外团组要向招商一线倾斜，优化一线招商人员出国（境）审批流程。经市外事或台湾事务主管部门审核同意，招商人员可</w:t>
      </w:r>
      <w:proofErr w:type="gramStart"/>
      <w:r w:rsidRPr="00A00331">
        <w:rPr>
          <w:rFonts w:ascii="微软雅黑" w:eastAsia="微软雅黑" w:hAnsi="微软雅黑" w:cs="宋体" w:hint="eastAsia"/>
          <w:color w:val="333333"/>
          <w:kern w:val="0"/>
          <w:sz w:val="24"/>
          <w:szCs w:val="24"/>
        </w:rPr>
        <w:t>适当突破</w:t>
      </w:r>
      <w:proofErr w:type="gramEnd"/>
      <w:r w:rsidRPr="00A00331">
        <w:rPr>
          <w:rFonts w:ascii="微软雅黑" w:eastAsia="微软雅黑" w:hAnsi="微软雅黑" w:cs="宋体" w:hint="eastAsia"/>
          <w:color w:val="333333"/>
          <w:kern w:val="0"/>
          <w:sz w:val="24"/>
          <w:szCs w:val="24"/>
        </w:rPr>
        <w:t>单位和个人年度因公临时出国（境）批次限量管理范围，出访团组、人次数和经费分工统计。对引资业绩突出的县（市、区）、开发园区相关负责人和优秀招商人员，在相关职级使用、个人评优评先中优先考虑。（责任单位：市商务局、外侨办、台办、组织部）</w:t>
      </w:r>
    </w:p>
    <w:p w14:paraId="62A4F053" w14:textId="77777777" w:rsidR="00A00331" w:rsidRPr="00A00331" w:rsidRDefault="00A00331" w:rsidP="00A00331">
      <w:pPr>
        <w:widowControl/>
        <w:spacing w:line="525" w:lineRule="atLeast"/>
        <w:ind w:firstLine="480"/>
        <w:jc w:val="left"/>
        <w:rPr>
          <w:rFonts w:ascii="微软雅黑" w:eastAsia="微软雅黑" w:hAnsi="微软雅黑" w:cs="宋体" w:hint="eastAsia"/>
          <w:color w:val="333333"/>
          <w:kern w:val="0"/>
          <w:sz w:val="24"/>
          <w:szCs w:val="24"/>
        </w:rPr>
      </w:pPr>
      <w:proofErr w:type="gramStart"/>
      <w:r w:rsidRPr="00A00331">
        <w:rPr>
          <w:rFonts w:ascii="微软雅黑" w:eastAsia="微软雅黑" w:hAnsi="微软雅黑" w:cs="宋体" w:hint="eastAsia"/>
          <w:color w:val="333333"/>
          <w:kern w:val="0"/>
          <w:sz w:val="24"/>
          <w:szCs w:val="24"/>
        </w:rPr>
        <w:t>本意见自2018年1月1日起</w:t>
      </w:r>
      <w:proofErr w:type="gramEnd"/>
      <w:r w:rsidRPr="00A00331">
        <w:rPr>
          <w:rFonts w:ascii="微软雅黑" w:eastAsia="微软雅黑" w:hAnsi="微软雅黑" w:cs="宋体" w:hint="eastAsia"/>
          <w:color w:val="333333"/>
          <w:kern w:val="0"/>
          <w:sz w:val="24"/>
          <w:szCs w:val="24"/>
        </w:rPr>
        <w:t>施行。</w:t>
      </w:r>
    </w:p>
    <w:p w14:paraId="6CA482E8" w14:textId="77777777" w:rsidR="00A00331" w:rsidRPr="00A00331" w:rsidRDefault="00A00331" w:rsidP="00A00331">
      <w:pPr>
        <w:widowControl/>
        <w:spacing w:line="525" w:lineRule="atLeast"/>
        <w:ind w:firstLine="480"/>
        <w:jc w:val="right"/>
        <w:rPr>
          <w:rFonts w:ascii="微软雅黑" w:eastAsia="微软雅黑" w:hAnsi="微软雅黑" w:cs="宋体" w:hint="eastAsia"/>
          <w:color w:val="333333"/>
          <w:kern w:val="0"/>
          <w:sz w:val="24"/>
          <w:szCs w:val="24"/>
        </w:rPr>
      </w:pPr>
      <w:r w:rsidRPr="00A00331">
        <w:rPr>
          <w:rFonts w:ascii="微软雅黑" w:eastAsia="微软雅黑" w:hAnsi="微软雅黑" w:cs="宋体" w:hint="eastAsia"/>
          <w:color w:val="333333"/>
          <w:kern w:val="0"/>
          <w:sz w:val="24"/>
          <w:szCs w:val="24"/>
        </w:rPr>
        <w:t>南通市人民政府</w:t>
      </w:r>
    </w:p>
    <w:p w14:paraId="7E3EE78D" w14:textId="77777777" w:rsidR="00A00331" w:rsidRPr="00A00331" w:rsidRDefault="00A00331" w:rsidP="00A00331">
      <w:pPr>
        <w:widowControl/>
        <w:spacing w:line="525" w:lineRule="atLeast"/>
        <w:ind w:firstLine="480"/>
        <w:jc w:val="right"/>
        <w:rPr>
          <w:rFonts w:ascii="微软雅黑" w:eastAsia="微软雅黑" w:hAnsi="微软雅黑" w:cs="宋体" w:hint="eastAsia"/>
          <w:color w:val="333333"/>
          <w:kern w:val="0"/>
          <w:sz w:val="24"/>
          <w:szCs w:val="24"/>
        </w:rPr>
      </w:pPr>
      <w:r w:rsidRPr="00A00331">
        <w:rPr>
          <w:rFonts w:ascii="微软雅黑" w:eastAsia="微软雅黑" w:hAnsi="微软雅黑" w:cs="宋体" w:hint="eastAsia"/>
          <w:color w:val="333333"/>
          <w:kern w:val="0"/>
          <w:sz w:val="24"/>
          <w:szCs w:val="24"/>
        </w:rPr>
        <w:t>2018年11月7日</w:t>
      </w:r>
    </w:p>
    <w:p w14:paraId="2CED9CC2" w14:textId="77777777" w:rsidR="00F86FB9" w:rsidRDefault="00F86FB9"/>
    <w:sectPr w:rsidR="00F86F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F1"/>
    <w:rsid w:val="00A00331"/>
    <w:rsid w:val="00A346F1"/>
    <w:rsid w:val="00F86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00C36-DB28-4F06-A604-26E30F63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61729">
      <w:bodyDiv w:val="1"/>
      <w:marLeft w:val="0"/>
      <w:marRight w:val="0"/>
      <w:marTop w:val="0"/>
      <w:marBottom w:val="0"/>
      <w:divBdr>
        <w:top w:val="none" w:sz="0" w:space="0" w:color="auto"/>
        <w:left w:val="none" w:sz="0" w:space="0" w:color="auto"/>
        <w:bottom w:val="none" w:sz="0" w:space="0" w:color="auto"/>
        <w:right w:val="none" w:sz="0" w:space="0" w:color="auto"/>
      </w:divBdr>
      <w:divsChild>
        <w:div w:id="733509908">
          <w:marLeft w:val="0"/>
          <w:marRight w:val="0"/>
          <w:marTop w:val="0"/>
          <w:marBottom w:val="0"/>
          <w:divBdr>
            <w:top w:val="none" w:sz="0" w:space="0" w:color="auto"/>
            <w:left w:val="none" w:sz="0" w:space="0" w:color="auto"/>
            <w:bottom w:val="none" w:sz="0" w:space="0" w:color="auto"/>
            <w:right w:val="none" w:sz="0" w:space="0" w:color="auto"/>
          </w:divBdr>
          <w:divsChild>
            <w:div w:id="1231118838">
              <w:marLeft w:val="0"/>
              <w:marRight w:val="0"/>
              <w:marTop w:val="150"/>
              <w:marBottom w:val="0"/>
              <w:divBdr>
                <w:top w:val="none" w:sz="0" w:space="0" w:color="auto"/>
                <w:left w:val="none" w:sz="0" w:space="0" w:color="auto"/>
                <w:bottom w:val="none" w:sz="0" w:space="0" w:color="auto"/>
                <w:right w:val="none" w:sz="0" w:space="0" w:color="auto"/>
              </w:divBdr>
            </w:div>
            <w:div w:id="849027302">
              <w:marLeft w:val="0"/>
              <w:marRight w:val="0"/>
              <w:marTop w:val="150"/>
              <w:marBottom w:val="150"/>
              <w:divBdr>
                <w:top w:val="single" w:sz="6" w:space="2" w:color="CFCFCF"/>
                <w:left w:val="none" w:sz="0" w:space="2" w:color="auto"/>
                <w:bottom w:val="none" w:sz="0" w:space="2" w:color="auto"/>
                <w:right w:val="none" w:sz="0" w:space="2"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2018-12-28T08:05:00Z</dcterms:created>
  <dcterms:modified xsi:type="dcterms:W3CDTF">2018-12-28T08:05:00Z</dcterms:modified>
</cp:coreProperties>
</file>