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B4F79" w14:textId="77777777" w:rsidR="00B07051" w:rsidRPr="00B07051" w:rsidRDefault="00B07051" w:rsidP="00B07051">
      <w:pPr>
        <w:widowControl/>
        <w:overflowPunct w:val="0"/>
        <w:adjustRightInd w:val="0"/>
        <w:snapToGrid w:val="0"/>
        <w:spacing w:line="580" w:lineRule="exact"/>
        <w:jc w:val="left"/>
        <w:rPr>
          <w:rFonts w:ascii="ˎ̥" w:eastAsia="宋体" w:hAnsi="ˎ̥" w:cs="宋体"/>
          <w:color w:val="000000"/>
          <w:kern w:val="0"/>
          <w:sz w:val="24"/>
          <w:szCs w:val="24"/>
        </w:rPr>
      </w:pPr>
      <w:r w:rsidRPr="00B07051">
        <w:rPr>
          <w:rFonts w:ascii="Times New Roman" w:eastAsia="仿宋_GB2312" w:hAnsi="ˎ̥" w:cs="宋体" w:hint="eastAsia"/>
          <w:color w:val="000000"/>
          <w:kern w:val="0"/>
          <w:sz w:val="24"/>
          <w:szCs w:val="32"/>
        </w:rPr>
        <w:t>各镇（街道）党（工）委、政府（办事处），开发区、高铁新城、度假区党工委、管委会，区级机关各部门，各垂直管理部门，区各直属公司：</w:t>
      </w:r>
    </w:p>
    <w:p w14:paraId="1834B924" w14:textId="77777777" w:rsidR="00B07051" w:rsidRPr="00B07051" w:rsidRDefault="00B07051" w:rsidP="00B07051">
      <w:pPr>
        <w:widowControl/>
        <w:overflowPunct w:val="0"/>
        <w:adjustRightInd w:val="0"/>
        <w:snapToGrid w:val="0"/>
        <w:spacing w:line="580" w:lineRule="exact"/>
        <w:ind w:firstLineChars="200" w:firstLine="480"/>
        <w:jc w:val="left"/>
        <w:rPr>
          <w:rFonts w:ascii="ˎ̥" w:eastAsia="宋体" w:hAnsi="ˎ̥" w:cs="宋体"/>
          <w:color w:val="000000"/>
          <w:kern w:val="0"/>
          <w:sz w:val="24"/>
          <w:szCs w:val="24"/>
        </w:rPr>
      </w:pPr>
      <w:r w:rsidRPr="00B07051">
        <w:rPr>
          <w:rFonts w:ascii="Times New Roman" w:eastAsia="仿宋_GB2312" w:hAnsi="ˎ̥" w:cs="宋体" w:hint="eastAsia"/>
          <w:color w:val="000000"/>
          <w:kern w:val="0"/>
          <w:sz w:val="24"/>
          <w:szCs w:val="32"/>
        </w:rPr>
        <w:t>现将《阳澄湖柔性引才计划实施细则》印发给你们，请认真贯彻执行。</w:t>
      </w:r>
    </w:p>
    <w:p w14:paraId="39AF47EF" w14:textId="77777777" w:rsidR="00B07051" w:rsidRPr="00B07051" w:rsidRDefault="00B07051" w:rsidP="00B07051">
      <w:pPr>
        <w:widowControl/>
        <w:overflowPunct w:val="0"/>
        <w:adjustRightInd w:val="0"/>
        <w:snapToGrid w:val="0"/>
        <w:spacing w:line="580" w:lineRule="exact"/>
        <w:jc w:val="center"/>
        <w:rPr>
          <w:rFonts w:ascii="ˎ̥" w:eastAsia="宋体" w:hAnsi="ˎ̥" w:cs="宋体"/>
          <w:color w:val="000000"/>
          <w:kern w:val="0"/>
          <w:sz w:val="24"/>
          <w:szCs w:val="24"/>
        </w:rPr>
      </w:pPr>
      <w:r w:rsidRPr="00B07051">
        <w:rPr>
          <w:rFonts w:ascii="ˎ̥" w:eastAsia="宋体" w:hAnsi="ˎ̥" w:cs="宋体"/>
          <w:color w:val="000000"/>
          <w:kern w:val="0"/>
          <w:sz w:val="24"/>
          <w:szCs w:val="32"/>
        </w:rPr>
        <w:t> </w:t>
      </w:r>
    </w:p>
    <w:p w14:paraId="14677BF6" w14:textId="77777777" w:rsidR="00B07051" w:rsidRPr="00B07051" w:rsidRDefault="00B07051" w:rsidP="00B07051">
      <w:pPr>
        <w:widowControl/>
        <w:overflowPunct w:val="0"/>
        <w:adjustRightInd w:val="0"/>
        <w:snapToGrid w:val="0"/>
        <w:spacing w:line="580" w:lineRule="exact"/>
        <w:ind w:rightChars="200" w:right="420" w:firstLineChars="1000" w:firstLine="2160"/>
        <w:jc w:val="distribute"/>
        <w:rPr>
          <w:rFonts w:ascii="ˎ̥" w:eastAsia="宋体" w:hAnsi="ˎ̥" w:cs="宋体"/>
          <w:color w:val="000000"/>
          <w:kern w:val="0"/>
          <w:sz w:val="24"/>
          <w:szCs w:val="24"/>
        </w:rPr>
      </w:pPr>
      <w:r w:rsidRPr="00B07051">
        <w:rPr>
          <w:rFonts w:ascii="ˎ̥" w:eastAsia="宋体" w:hAnsi="ˎ̥" w:cs="宋体"/>
          <w:color w:val="000000"/>
          <w:spacing w:val="-12"/>
          <w:kern w:val="0"/>
          <w:sz w:val="24"/>
          <w:szCs w:val="32"/>
        </w:rPr>
        <w:t> </w:t>
      </w:r>
    </w:p>
    <w:p w14:paraId="610B4191" w14:textId="77777777" w:rsidR="00B07051" w:rsidRPr="00B07051" w:rsidRDefault="00B07051" w:rsidP="00B07051">
      <w:pPr>
        <w:widowControl/>
        <w:overflowPunct w:val="0"/>
        <w:adjustRightInd w:val="0"/>
        <w:snapToGrid w:val="0"/>
        <w:spacing w:line="580" w:lineRule="exact"/>
        <w:ind w:rightChars="200" w:right="420" w:firstLineChars="1000" w:firstLine="2160"/>
        <w:jc w:val="distribute"/>
        <w:rPr>
          <w:rFonts w:ascii="ˎ̥" w:eastAsia="宋体" w:hAnsi="ˎ̥" w:cs="宋体"/>
          <w:color w:val="000000"/>
          <w:kern w:val="0"/>
          <w:sz w:val="24"/>
          <w:szCs w:val="24"/>
        </w:rPr>
      </w:pPr>
      <w:r w:rsidRPr="00B07051">
        <w:rPr>
          <w:rFonts w:ascii="Times New Roman" w:eastAsia="仿宋_GB2312" w:hAnsi="ˎ̥" w:cs="宋体" w:hint="eastAsia"/>
          <w:color w:val="000000"/>
          <w:spacing w:val="-12"/>
          <w:kern w:val="0"/>
          <w:sz w:val="24"/>
          <w:szCs w:val="32"/>
        </w:rPr>
        <w:t>苏州市相城区人才工作领导小组办公室</w:t>
      </w:r>
    </w:p>
    <w:p w14:paraId="07DF302B" w14:textId="77777777" w:rsidR="00B07051" w:rsidRPr="00B07051" w:rsidRDefault="00B07051" w:rsidP="00B07051">
      <w:pPr>
        <w:widowControl/>
        <w:overflowPunct w:val="0"/>
        <w:adjustRightInd w:val="0"/>
        <w:snapToGrid w:val="0"/>
        <w:spacing w:line="580" w:lineRule="exact"/>
        <w:ind w:rightChars="200" w:right="420" w:firstLineChars="950" w:firstLine="2280"/>
        <w:jc w:val="distribute"/>
        <w:rPr>
          <w:rFonts w:ascii="ˎ̥" w:eastAsia="宋体" w:hAnsi="ˎ̥" w:cs="宋体"/>
          <w:color w:val="000000"/>
          <w:kern w:val="0"/>
          <w:sz w:val="24"/>
          <w:szCs w:val="24"/>
        </w:rPr>
      </w:pPr>
      <w:r w:rsidRPr="00B07051">
        <w:rPr>
          <w:rFonts w:ascii="Times New Roman" w:eastAsia="仿宋_GB2312" w:hAnsi="ˎ̥" w:cs="宋体" w:hint="eastAsia"/>
          <w:color w:val="000000"/>
          <w:kern w:val="0"/>
          <w:sz w:val="24"/>
          <w:szCs w:val="32"/>
        </w:rPr>
        <w:t>苏州市相城区人力资源和社会保障局</w:t>
      </w:r>
    </w:p>
    <w:p w14:paraId="1847A8F5" w14:textId="77777777" w:rsidR="00B07051" w:rsidRPr="00B07051" w:rsidRDefault="00B07051" w:rsidP="00B07051">
      <w:pPr>
        <w:widowControl/>
        <w:spacing w:line="580" w:lineRule="exact"/>
        <w:ind w:firstLineChars="1450" w:firstLine="3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2017年</w:t>
      </w:r>
      <w:r w:rsidRPr="00B07051">
        <w:rPr>
          <w:rFonts w:ascii="ˎ̥" w:eastAsia="仿宋_GB2312" w:hAnsi="ˎ̥" w:cs="宋体"/>
          <w:color w:val="000000"/>
          <w:kern w:val="0"/>
          <w:sz w:val="24"/>
          <w:szCs w:val="24"/>
        </w:rPr>
        <w:t>9</w:t>
      </w:r>
      <w:r w:rsidRPr="00B07051">
        <w:rPr>
          <w:rFonts w:ascii="仿宋_GB2312" w:eastAsia="仿宋_GB2312" w:hAnsi="ˎ̥" w:cs="宋体" w:hint="eastAsia"/>
          <w:color w:val="000000"/>
          <w:kern w:val="0"/>
          <w:sz w:val="24"/>
          <w:szCs w:val="32"/>
        </w:rPr>
        <w:t>月</w:t>
      </w:r>
      <w:r w:rsidRPr="00B07051">
        <w:rPr>
          <w:rFonts w:ascii="ˎ̥" w:eastAsia="仿宋_GB2312" w:hAnsi="ˎ̥" w:cs="宋体"/>
          <w:color w:val="000000"/>
          <w:kern w:val="0"/>
          <w:sz w:val="24"/>
          <w:szCs w:val="24"/>
        </w:rPr>
        <w:t>11</w:t>
      </w:r>
      <w:r w:rsidRPr="00B07051">
        <w:rPr>
          <w:rFonts w:ascii="仿宋_GB2312" w:eastAsia="仿宋_GB2312" w:hAnsi="ˎ̥" w:cs="宋体" w:hint="eastAsia"/>
          <w:color w:val="000000"/>
          <w:kern w:val="0"/>
          <w:sz w:val="24"/>
          <w:szCs w:val="32"/>
        </w:rPr>
        <w:t>日</w:t>
      </w:r>
    </w:p>
    <w:p w14:paraId="10296F7C" w14:textId="77777777" w:rsidR="00B07051" w:rsidRPr="00B07051" w:rsidRDefault="00B07051" w:rsidP="00B07051">
      <w:pPr>
        <w:widowControl/>
        <w:spacing w:line="580" w:lineRule="exact"/>
        <w:jc w:val="center"/>
        <w:rPr>
          <w:rFonts w:ascii="ˎ̥" w:eastAsia="宋体" w:hAnsi="ˎ̥" w:cs="宋体"/>
          <w:color w:val="000000"/>
          <w:kern w:val="0"/>
          <w:sz w:val="24"/>
          <w:szCs w:val="24"/>
        </w:rPr>
      </w:pPr>
      <w:r w:rsidRPr="00B07051">
        <w:rPr>
          <w:rFonts w:ascii="ˎ̥" w:eastAsia="方正小标宋简体" w:hAnsi="ˎ̥" w:cs="宋体"/>
          <w:color w:val="000000"/>
          <w:kern w:val="0"/>
          <w:sz w:val="44"/>
          <w:szCs w:val="44"/>
        </w:rPr>
        <w:t> </w:t>
      </w:r>
    </w:p>
    <w:p w14:paraId="20A6AF88" w14:textId="77777777" w:rsidR="00B07051" w:rsidRPr="00B07051" w:rsidRDefault="00B07051" w:rsidP="00B07051">
      <w:pPr>
        <w:widowControl/>
        <w:spacing w:line="580" w:lineRule="exact"/>
        <w:jc w:val="center"/>
        <w:rPr>
          <w:rFonts w:ascii="ˎ̥" w:eastAsia="宋体" w:hAnsi="ˎ̥" w:cs="宋体"/>
          <w:color w:val="000000"/>
          <w:kern w:val="0"/>
          <w:sz w:val="24"/>
          <w:szCs w:val="24"/>
        </w:rPr>
      </w:pPr>
      <w:r w:rsidRPr="00B07051">
        <w:rPr>
          <w:rFonts w:ascii="ˎ̥" w:eastAsia="方正小标宋简体" w:hAnsi="ˎ̥" w:cs="宋体"/>
          <w:color w:val="000000"/>
          <w:kern w:val="0"/>
          <w:sz w:val="44"/>
          <w:szCs w:val="44"/>
        </w:rPr>
        <w:t> </w:t>
      </w:r>
    </w:p>
    <w:p w14:paraId="35A8B2D3" w14:textId="77777777" w:rsidR="00B07051" w:rsidRPr="00B07051" w:rsidRDefault="00B07051" w:rsidP="00B07051">
      <w:pPr>
        <w:widowControl/>
        <w:spacing w:line="580" w:lineRule="exact"/>
        <w:jc w:val="center"/>
        <w:rPr>
          <w:rFonts w:ascii="ˎ̥" w:eastAsia="宋体" w:hAnsi="ˎ̥" w:cs="宋体"/>
          <w:color w:val="000000"/>
          <w:kern w:val="0"/>
          <w:sz w:val="24"/>
          <w:szCs w:val="24"/>
        </w:rPr>
      </w:pPr>
      <w:r w:rsidRPr="00B07051">
        <w:rPr>
          <w:rFonts w:ascii="ˎ̥" w:eastAsia="方正小标宋简体" w:hAnsi="ˎ̥" w:cs="宋体"/>
          <w:color w:val="000000"/>
          <w:kern w:val="0"/>
          <w:sz w:val="44"/>
          <w:szCs w:val="44"/>
        </w:rPr>
        <w:t> </w:t>
      </w:r>
    </w:p>
    <w:p w14:paraId="23E107E5" w14:textId="77777777" w:rsidR="00B07051" w:rsidRPr="00B07051" w:rsidRDefault="00B07051" w:rsidP="00B07051">
      <w:pPr>
        <w:widowControl/>
        <w:spacing w:line="580" w:lineRule="exact"/>
        <w:jc w:val="center"/>
        <w:rPr>
          <w:rFonts w:ascii="ˎ̥" w:eastAsia="宋体" w:hAnsi="ˎ̥" w:cs="宋体"/>
          <w:color w:val="000000"/>
          <w:kern w:val="0"/>
          <w:sz w:val="24"/>
          <w:szCs w:val="24"/>
        </w:rPr>
      </w:pPr>
      <w:r w:rsidRPr="00B07051">
        <w:rPr>
          <w:rFonts w:ascii="Times New Roman" w:eastAsia="方正小标宋简体" w:hAnsi="ˎ̥" w:cs="宋体" w:hint="eastAsia"/>
          <w:color w:val="000000"/>
          <w:kern w:val="0"/>
          <w:sz w:val="44"/>
          <w:szCs w:val="44"/>
        </w:rPr>
        <w:t>阳澄湖柔性引才计划实施细则</w:t>
      </w:r>
    </w:p>
    <w:p w14:paraId="0AF89B5C" w14:textId="77777777" w:rsidR="00B07051" w:rsidRPr="00B07051" w:rsidRDefault="00B07051" w:rsidP="00B07051">
      <w:pPr>
        <w:widowControl/>
        <w:spacing w:line="260" w:lineRule="exact"/>
        <w:jc w:val="center"/>
        <w:rPr>
          <w:rFonts w:ascii="ˎ̥" w:eastAsia="宋体" w:hAnsi="ˎ̥" w:cs="宋体"/>
          <w:color w:val="000000"/>
          <w:kern w:val="0"/>
          <w:sz w:val="24"/>
          <w:szCs w:val="24"/>
        </w:rPr>
      </w:pPr>
      <w:r w:rsidRPr="00B07051">
        <w:rPr>
          <w:rFonts w:ascii="Calibri" w:eastAsia="黑体" w:hAnsi="Calibri" w:cs="Calibri"/>
          <w:color w:val="000000"/>
          <w:kern w:val="0"/>
          <w:sz w:val="24"/>
          <w:szCs w:val="32"/>
        </w:rPr>
        <w:t> </w:t>
      </w:r>
    </w:p>
    <w:p w14:paraId="7E6CD09D"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黑体" w:eastAsia="黑体" w:hAnsi="黑体" w:cs="黑体" w:hint="eastAsia"/>
          <w:color w:val="000000"/>
          <w:kern w:val="0"/>
          <w:sz w:val="24"/>
          <w:szCs w:val="32"/>
        </w:rPr>
        <w:t>第一章</w:t>
      </w:r>
      <w:r w:rsidRPr="00B07051">
        <w:rPr>
          <w:rFonts w:ascii="ˎ̥" w:eastAsia="黑体" w:hAnsi="ˎ̥" w:cs="黑体"/>
          <w:color w:val="000000"/>
          <w:kern w:val="0"/>
          <w:sz w:val="24"/>
          <w:szCs w:val="24"/>
        </w:rPr>
        <w:t xml:space="preserve">  </w:t>
      </w:r>
      <w:r w:rsidRPr="00B07051">
        <w:rPr>
          <w:rFonts w:ascii="黑体" w:eastAsia="黑体" w:hAnsi="黑体" w:cs="黑体" w:hint="eastAsia"/>
          <w:color w:val="000000"/>
          <w:kern w:val="0"/>
          <w:sz w:val="24"/>
          <w:szCs w:val="32"/>
        </w:rPr>
        <w:t>总</w:t>
      </w:r>
      <w:r w:rsidRPr="00B07051">
        <w:rPr>
          <w:rFonts w:ascii="ˎ̥" w:eastAsia="黑体" w:hAnsi="ˎ̥" w:cs="黑体"/>
          <w:color w:val="000000"/>
          <w:kern w:val="0"/>
          <w:sz w:val="24"/>
          <w:szCs w:val="24"/>
        </w:rPr>
        <w:t> </w:t>
      </w:r>
      <w:r w:rsidRPr="00B07051">
        <w:rPr>
          <w:rFonts w:ascii="黑体" w:eastAsia="黑体" w:hAnsi="黑体" w:cs="黑体" w:hint="eastAsia"/>
          <w:color w:val="000000"/>
          <w:kern w:val="0"/>
          <w:sz w:val="24"/>
          <w:szCs w:val="32"/>
        </w:rPr>
        <w:t>则</w:t>
      </w:r>
    </w:p>
    <w:p w14:paraId="2F8C2015"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ˎ̥" w:eastAsia="黑体" w:hAnsi="ˎ̥" w:cs="宋体"/>
          <w:color w:val="000000"/>
          <w:kern w:val="0"/>
          <w:sz w:val="24"/>
          <w:szCs w:val="24"/>
        </w:rPr>
        <w:t xml:space="preserve">    </w:t>
      </w:r>
      <w:r w:rsidRPr="00B07051">
        <w:rPr>
          <w:rFonts w:ascii="Times New Roman" w:eastAsia="黑体" w:hAnsi="Times New Roman" w:cs="宋体" w:hint="eastAsia"/>
          <w:color w:val="000000"/>
          <w:kern w:val="0"/>
          <w:sz w:val="24"/>
          <w:szCs w:val="32"/>
        </w:rPr>
        <w:t>第一条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为进一步鼓励用人单位柔性引进海外人才和国内专家，提升我区高层次人才集聚能力，根据苏州市《关于加快推</w:t>
      </w:r>
      <w:r w:rsidRPr="00B07051">
        <w:rPr>
          <w:rFonts w:ascii="仿宋_GB2312" w:eastAsia="仿宋_GB2312" w:hAnsi="ˎ̥" w:cs="宋体" w:hint="eastAsia"/>
          <w:color w:val="000000"/>
          <w:kern w:val="0"/>
          <w:sz w:val="24"/>
          <w:szCs w:val="32"/>
        </w:rPr>
        <w:t>进“海鸥计划”柔性引进海外智力的实施细则》（苏委办发〔</w:t>
      </w:r>
      <w:r w:rsidRPr="00B07051">
        <w:rPr>
          <w:rFonts w:ascii="ˎ̥" w:eastAsia="仿宋_GB2312" w:hAnsi="ˎ̥" w:cs="宋体"/>
          <w:color w:val="000000"/>
          <w:kern w:val="0"/>
          <w:sz w:val="24"/>
          <w:szCs w:val="24"/>
        </w:rPr>
        <w:t>2015</w:t>
      </w: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68</w:t>
      </w:r>
      <w:r w:rsidRPr="00B07051">
        <w:rPr>
          <w:rFonts w:ascii="仿宋_GB2312" w:eastAsia="仿宋_GB2312" w:hAnsi="ˎ̥" w:cs="宋体" w:hint="eastAsia"/>
          <w:color w:val="000000"/>
          <w:kern w:val="0"/>
          <w:sz w:val="24"/>
          <w:szCs w:val="32"/>
        </w:rPr>
        <w:t>号）和区委区政府《关于进一步完善阳澄湖人才计划及配套政策措施的若干意见（试行）》（相委发〔</w:t>
      </w:r>
      <w:r w:rsidRPr="00B07051">
        <w:rPr>
          <w:rFonts w:ascii="ˎ̥" w:eastAsia="仿宋_GB2312" w:hAnsi="ˎ̥" w:cs="宋体"/>
          <w:color w:val="000000"/>
          <w:kern w:val="0"/>
          <w:sz w:val="24"/>
          <w:szCs w:val="24"/>
        </w:rPr>
        <w:t>2017</w:t>
      </w: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29</w:t>
      </w:r>
      <w:r w:rsidRPr="00B07051">
        <w:rPr>
          <w:rFonts w:ascii="仿宋_GB2312" w:eastAsia="仿宋_GB2312" w:hAnsi="ˎ̥" w:cs="宋体" w:hint="eastAsia"/>
          <w:color w:val="000000"/>
          <w:kern w:val="0"/>
          <w:sz w:val="24"/>
          <w:szCs w:val="32"/>
        </w:rPr>
        <w:t>号），结合相城实际，制定本细则。</w:t>
      </w:r>
    </w:p>
    <w:p w14:paraId="2DB781A6"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第二条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本细则所称“柔性引才”，是指树立“不求所有，但求所用，来去自由”的理念，</w:t>
      </w:r>
      <w:bookmarkStart w:id="0" w:name="baidusnap3"/>
      <w:bookmarkEnd w:id="0"/>
      <w:r w:rsidRPr="00B07051">
        <w:rPr>
          <w:rFonts w:ascii="Times New Roman" w:eastAsia="仿宋_GB2312" w:hAnsi="ˎ̥" w:cs="宋体" w:hint="eastAsia"/>
          <w:color w:val="000000"/>
          <w:kern w:val="0"/>
          <w:sz w:val="24"/>
          <w:szCs w:val="32"/>
        </w:rPr>
        <w:t>打破国籍、户籍、地域、身份、人事关系等人才流动中的刚性制约，在不改变和影响人才与所属单位人事关系的前提下，以契约管理为基础，吸引海内外优秀人才集聚相城，提供智力服务，构建政府引导下以用人单位为主体、灵活多样的引才格局。</w:t>
      </w:r>
    </w:p>
    <w:p w14:paraId="73F583BC"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lastRenderedPageBreak/>
        <w:t>第三条</w:t>
      </w:r>
      <w:r w:rsidRPr="00B07051">
        <w:rPr>
          <w:rFonts w:ascii="ˎ̥" w:eastAsia="黑体" w:hAnsi="ˎ̥" w:cs="宋体"/>
          <w:color w:val="000000"/>
          <w:kern w:val="0"/>
          <w:sz w:val="24"/>
          <w:szCs w:val="24"/>
        </w:rPr>
        <w:t xml:space="preserve">  </w:t>
      </w:r>
      <w:r w:rsidRPr="00B07051">
        <w:rPr>
          <w:rFonts w:ascii="仿宋_GB2312" w:eastAsia="仿宋_GB2312" w:hAnsi="宋体" w:cs="宋体" w:hint="eastAsia"/>
          <w:color w:val="000000"/>
          <w:kern w:val="0"/>
          <w:sz w:val="24"/>
          <w:szCs w:val="32"/>
        </w:rPr>
        <w:t>阳澄湖柔性引才计划由苏州市相城区人才工作领导小组办公室（以下简称“区人才办”）会同苏州市相城区人力资源和社会保障局（以下简称“区人社局”）组织实施，每年评审</w:t>
      </w:r>
      <w:r w:rsidRPr="00B07051">
        <w:rPr>
          <w:rFonts w:ascii="仿宋_GB2312" w:eastAsia="仿宋_GB2312" w:hAnsi="ˎ̥" w:cs="宋体" w:hint="eastAsia"/>
          <w:color w:val="000000"/>
          <w:kern w:val="0"/>
          <w:sz w:val="24"/>
          <w:szCs w:val="32"/>
        </w:rPr>
        <w:t>资助</w:t>
      </w:r>
      <w:r w:rsidRPr="00B07051">
        <w:rPr>
          <w:rFonts w:ascii="ˎ̥" w:eastAsia="仿宋_GB2312" w:hAnsi="ˎ̥" w:cs="宋体"/>
          <w:color w:val="000000"/>
          <w:kern w:val="0"/>
          <w:sz w:val="24"/>
          <w:szCs w:val="24"/>
        </w:rPr>
        <w:t>20</w:t>
      </w:r>
      <w:r w:rsidRPr="00B07051">
        <w:rPr>
          <w:rFonts w:ascii="仿宋_GB2312" w:eastAsia="仿宋_GB2312" w:hAnsi="ˎ̥" w:cs="宋体" w:hint="eastAsia"/>
          <w:color w:val="000000"/>
          <w:kern w:val="0"/>
          <w:sz w:val="24"/>
          <w:szCs w:val="32"/>
        </w:rPr>
        <w:t>个左右“阳澄湖柔性引才计划”引智项目。</w:t>
      </w:r>
    </w:p>
    <w:p w14:paraId="2CCBB99C" w14:textId="77777777" w:rsidR="00B07051" w:rsidRPr="00B07051" w:rsidRDefault="00B07051" w:rsidP="00B07051">
      <w:pPr>
        <w:widowControl/>
        <w:tabs>
          <w:tab w:val="num" w:pos="1260"/>
        </w:tabs>
        <w:spacing w:line="600" w:lineRule="exact"/>
        <w:ind w:hanging="1260"/>
        <w:jc w:val="center"/>
        <w:rPr>
          <w:rFonts w:ascii="ˎ̥" w:eastAsia="宋体" w:hAnsi="ˎ̥" w:cs="宋体"/>
          <w:color w:val="000000"/>
          <w:kern w:val="0"/>
          <w:sz w:val="24"/>
          <w:szCs w:val="24"/>
        </w:rPr>
      </w:pPr>
      <w:r w:rsidRPr="00B07051">
        <w:rPr>
          <w:rFonts w:ascii="ˎ̥" w:eastAsia="黑体" w:hAnsi="ˎ̥" w:cs="黑体"/>
          <w:color w:val="000000"/>
          <w:kern w:val="0"/>
          <w:sz w:val="24"/>
          <w:szCs w:val="24"/>
        </w:rPr>
        <w:t>第二章</w:t>
      </w:r>
      <w:r w:rsidRPr="00B07051">
        <w:rPr>
          <w:rFonts w:ascii="Times New Roman" w:eastAsia="黑体" w:hAnsi="Times New Roman" w:cs="Times New Roman"/>
          <w:color w:val="000000"/>
          <w:kern w:val="0"/>
          <w:sz w:val="14"/>
          <w:szCs w:val="14"/>
        </w:rPr>
        <w:t xml:space="preserve">    </w:t>
      </w:r>
      <w:r w:rsidRPr="00B07051">
        <w:rPr>
          <w:rFonts w:ascii="黑体" w:eastAsia="黑体" w:hAnsi="宋体" w:cs="宋体" w:hint="eastAsia"/>
          <w:color w:val="000000"/>
          <w:kern w:val="0"/>
          <w:sz w:val="24"/>
          <w:szCs w:val="32"/>
        </w:rPr>
        <w:t>引进方式和对象</w:t>
      </w:r>
    </w:p>
    <w:p w14:paraId="1E9C6852"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ˎ̥" w:eastAsia="黑体" w:hAnsi="ˎ̥" w:cs="宋体"/>
          <w:color w:val="000000"/>
          <w:kern w:val="0"/>
          <w:sz w:val="24"/>
          <w:szCs w:val="24"/>
        </w:rPr>
        <w:t xml:space="preserve">    </w:t>
      </w:r>
      <w:r w:rsidRPr="00B07051">
        <w:rPr>
          <w:rFonts w:ascii="Times New Roman" w:eastAsia="黑体" w:hAnsi="Times New Roman" w:cs="宋体" w:hint="eastAsia"/>
          <w:color w:val="000000"/>
          <w:kern w:val="0"/>
          <w:sz w:val="24"/>
          <w:szCs w:val="24"/>
        </w:rPr>
        <w:t>第四条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24"/>
        </w:rPr>
        <w:t>鼓励用人单位（包括企业、科研机构及各类社会组织等）以交流合作、技术攻关、培训咨询、评估诊断等多种形式柔性引进海外人才、国内专家。优先支持重点和新兴产业领域企业柔性引进创新型、技能型和管理型人才。</w:t>
      </w:r>
    </w:p>
    <w:p w14:paraId="715AD2AD"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第五条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柔性引进的海外人才主要指：</w:t>
      </w:r>
    </w:p>
    <w:p w14:paraId="44511C3A"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1.外籍专家和港、澳、台籍专家。</w:t>
      </w:r>
    </w:p>
    <w:p w14:paraId="76B4ADC4"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2.在海（境）外工作，以柔性方式在我区用人单位主持或参与实质性项目的高层次人才。</w:t>
      </w:r>
    </w:p>
    <w:p w14:paraId="0C7B2A19"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ˎ̥" w:eastAsia="黑体" w:hAnsi="ˎ̥" w:cs="宋体"/>
          <w:color w:val="000000"/>
          <w:kern w:val="0"/>
          <w:sz w:val="24"/>
          <w:szCs w:val="24"/>
        </w:rPr>
        <w:t xml:space="preserve">    </w:t>
      </w:r>
      <w:r w:rsidRPr="00B07051">
        <w:rPr>
          <w:rFonts w:ascii="Times New Roman" w:eastAsia="黑体" w:hAnsi="Times New Roman" w:cs="宋体" w:hint="eastAsia"/>
          <w:color w:val="000000"/>
          <w:kern w:val="0"/>
          <w:sz w:val="24"/>
          <w:szCs w:val="32"/>
        </w:rPr>
        <w:t>第六条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柔性引进的国内专家主要指：</w:t>
      </w:r>
    </w:p>
    <w:p w14:paraId="6C0AB827"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1.中国科学院院士、中国工程院院士。</w:t>
      </w:r>
    </w:p>
    <w:p w14:paraId="72479D69"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2.国内知名专家，包括国家级重点学科、重点实验室、工程技术研究中心学术技术带头人；国家有突出贡献专家；获国家科学技术奖一等奖、二等奖项目的主要完成人，或条件相当的其他优秀高层次人才；国家杰出专业技术人才；进入国家“百千万人才工程”第一、二层次的人员；享受国务院特殊津贴专家；国家“千人计划”专家。</w:t>
      </w:r>
    </w:p>
    <w:p w14:paraId="406EBF0E"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3.省级有突出贡献的中青年专家；获省部级科学技术一等奖项目的主要完成人，或条件相当的其他优秀高层次人才；进入国家“百千万人才工程”第三层次的人员；省级或地市级引才计划领军人才入选者。</w:t>
      </w:r>
    </w:p>
    <w:p w14:paraId="73A443F0"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lastRenderedPageBreak/>
        <w:t>4.高校院所、大中型国有企业等单位中具有副高及以上专业技术职称、高级技师职业资格或博士学位，并具备较高的学术造诣和较强的科研能力，对用人单位某项技术技能需求有独到研究的创新型或技能型专家。</w:t>
      </w:r>
    </w:p>
    <w:p w14:paraId="7FCF55CE"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黑体" w:eastAsia="黑体" w:hAnsi="Times New Roman" w:cs="宋体" w:hint="eastAsia"/>
          <w:color w:val="000000"/>
          <w:kern w:val="0"/>
          <w:sz w:val="24"/>
          <w:szCs w:val="32"/>
        </w:rPr>
        <w:t>第七条</w:t>
      </w:r>
      <w:r w:rsidRPr="00B07051">
        <w:rPr>
          <w:rFonts w:ascii="ˎ̥" w:eastAsia="黑体" w:hAnsi="ˎ̥" w:cs="宋体"/>
          <w:color w:val="000000"/>
          <w:kern w:val="0"/>
          <w:sz w:val="24"/>
          <w:szCs w:val="24"/>
        </w:rPr>
        <w:t xml:space="preserve">  </w:t>
      </w:r>
      <w:r w:rsidRPr="00B07051">
        <w:rPr>
          <w:rFonts w:ascii="仿宋_GB2312" w:eastAsia="仿宋_GB2312" w:hAnsi="ˎ̥" w:cs="宋体" w:hint="eastAsia"/>
          <w:color w:val="000000"/>
          <w:kern w:val="0"/>
          <w:sz w:val="24"/>
          <w:szCs w:val="32"/>
        </w:rPr>
        <w:t>用人单位柔性引进符合本细则第五、六条规定的各类人才，签订项目协议或工作合同，且每年在相城工作时间不少于</w:t>
      </w:r>
      <w:r w:rsidRPr="00B07051">
        <w:rPr>
          <w:rFonts w:ascii="ˎ̥" w:eastAsia="仿宋_GB2312" w:hAnsi="ˎ̥" w:cs="宋体"/>
          <w:color w:val="000000"/>
          <w:kern w:val="0"/>
          <w:sz w:val="24"/>
          <w:szCs w:val="24"/>
        </w:rPr>
        <w:t>15</w:t>
      </w:r>
      <w:r w:rsidRPr="00B07051">
        <w:rPr>
          <w:rFonts w:ascii="仿宋_GB2312" w:eastAsia="仿宋_GB2312" w:hAnsi="ˎ̥" w:cs="宋体" w:hint="eastAsia"/>
          <w:color w:val="000000"/>
          <w:kern w:val="0"/>
          <w:sz w:val="24"/>
          <w:szCs w:val="32"/>
        </w:rPr>
        <w:t>个工作日。柔性引才采用阶段性全职在相城工作方式的，合同期原则上不超过</w:t>
      </w:r>
      <w:r w:rsidRPr="00B07051">
        <w:rPr>
          <w:rFonts w:ascii="ˎ̥" w:eastAsia="仿宋_GB2312" w:hAnsi="ˎ̥" w:cs="宋体"/>
          <w:color w:val="000000"/>
          <w:kern w:val="0"/>
          <w:sz w:val="24"/>
          <w:szCs w:val="24"/>
        </w:rPr>
        <w:t>3</w:t>
      </w:r>
      <w:r w:rsidRPr="00B07051">
        <w:rPr>
          <w:rFonts w:ascii="仿宋_GB2312" w:eastAsia="仿宋_GB2312" w:hAnsi="ˎ̥" w:cs="宋体" w:hint="eastAsia"/>
          <w:color w:val="000000"/>
          <w:kern w:val="0"/>
          <w:sz w:val="24"/>
          <w:szCs w:val="32"/>
        </w:rPr>
        <w:t>年。</w:t>
      </w:r>
    </w:p>
    <w:p w14:paraId="501BB759"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已在我区创办和领办企业、已在我区申报并入</w:t>
      </w:r>
      <w:proofErr w:type="gramStart"/>
      <w:r w:rsidRPr="00B07051">
        <w:rPr>
          <w:rFonts w:ascii="仿宋_GB2312" w:eastAsia="仿宋_GB2312" w:hAnsi="ˎ̥" w:cs="宋体" w:hint="eastAsia"/>
          <w:color w:val="000000"/>
          <w:kern w:val="0"/>
          <w:sz w:val="24"/>
          <w:szCs w:val="32"/>
        </w:rPr>
        <w:t>选区级</w:t>
      </w:r>
      <w:proofErr w:type="gramEnd"/>
      <w:r w:rsidRPr="00B07051">
        <w:rPr>
          <w:rFonts w:ascii="仿宋_GB2312" w:eastAsia="仿宋_GB2312" w:hAnsi="ˎ̥" w:cs="宋体" w:hint="eastAsia"/>
          <w:color w:val="000000"/>
          <w:kern w:val="0"/>
          <w:sz w:val="24"/>
          <w:szCs w:val="32"/>
        </w:rPr>
        <w:t>及以上领军人才计划的海内外人才，以及同一企业（集团）不同子公司（事业部）间的派遣人才不在申报资助之列。</w:t>
      </w:r>
    </w:p>
    <w:p w14:paraId="5255A061" w14:textId="77777777" w:rsidR="00B07051" w:rsidRPr="00B07051" w:rsidRDefault="00B07051" w:rsidP="00B07051">
      <w:pPr>
        <w:widowControl/>
        <w:spacing w:line="600" w:lineRule="exact"/>
        <w:ind w:firstLine="64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第八条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单</w:t>
      </w:r>
      <w:r w:rsidRPr="00B07051">
        <w:rPr>
          <w:rFonts w:ascii="仿宋_GB2312" w:eastAsia="仿宋_GB2312" w:hAnsi="ˎ̥" w:cs="宋体" w:hint="eastAsia"/>
          <w:color w:val="000000"/>
          <w:kern w:val="0"/>
          <w:sz w:val="24"/>
          <w:szCs w:val="32"/>
        </w:rPr>
        <w:t>个引智项目持续时限原则上不超过</w:t>
      </w:r>
      <w:r w:rsidRPr="00B07051">
        <w:rPr>
          <w:rFonts w:ascii="ˎ̥" w:eastAsia="仿宋_GB2312" w:hAnsi="ˎ̥" w:cs="宋体"/>
          <w:color w:val="000000"/>
          <w:kern w:val="0"/>
          <w:sz w:val="24"/>
          <w:szCs w:val="24"/>
        </w:rPr>
        <w:t>3</w:t>
      </w:r>
      <w:r w:rsidRPr="00B07051">
        <w:rPr>
          <w:rFonts w:ascii="仿宋_GB2312" w:eastAsia="仿宋_GB2312" w:hAnsi="ˎ̥" w:cs="宋体" w:hint="eastAsia"/>
          <w:color w:val="000000"/>
          <w:kern w:val="0"/>
          <w:sz w:val="24"/>
          <w:szCs w:val="32"/>
        </w:rPr>
        <w:t>年，须为正在开展或申报年度完成的项目。</w:t>
      </w:r>
    </w:p>
    <w:p w14:paraId="39F69B48"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黑体" w:eastAsia="黑体" w:hAnsi="宋体" w:cs="宋体" w:hint="eastAsia"/>
          <w:color w:val="000000"/>
          <w:kern w:val="0"/>
          <w:sz w:val="24"/>
          <w:szCs w:val="32"/>
        </w:rPr>
        <w:t>第三章　评选方法和程序</w:t>
      </w:r>
    </w:p>
    <w:p w14:paraId="44AFDE2A"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第九条</w:t>
      </w:r>
      <w:r w:rsidRPr="00B07051">
        <w:rPr>
          <w:rFonts w:ascii="ˎ̥" w:eastAsia="宋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阳澄湖柔性引才计划评选方法和程序如下：</w:t>
      </w:r>
    </w:p>
    <w:p w14:paraId="29EAD643"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1.递交申请。区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每年定期发布阳澄湖柔性引才计划申报公告，由符合申报条件的用人单位提出申请，所在地人才办对申报材料初审后（区属单位申报由主管部门负责初审）报区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w:t>
      </w:r>
    </w:p>
    <w:p w14:paraId="312A9C7C"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申报材料须装订成册（一式二份），主要包括：</w:t>
      </w:r>
    </w:p>
    <w:p w14:paraId="4AC21A36"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1</w:t>
      </w:r>
      <w:r w:rsidRPr="00B07051">
        <w:rPr>
          <w:rFonts w:ascii="仿宋_GB2312" w:eastAsia="仿宋_GB2312" w:hAnsi="ˎ̥" w:cs="宋体" w:hint="eastAsia"/>
          <w:color w:val="000000"/>
          <w:kern w:val="0"/>
          <w:sz w:val="24"/>
          <w:szCs w:val="32"/>
        </w:rPr>
        <w:t>）项目申请表，详见当年申报公告附件。</w:t>
      </w:r>
    </w:p>
    <w:p w14:paraId="1374694E"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2</w:t>
      </w:r>
      <w:r w:rsidRPr="00B07051">
        <w:rPr>
          <w:rFonts w:ascii="仿宋_GB2312" w:eastAsia="仿宋_GB2312" w:hAnsi="ˎ̥" w:cs="宋体" w:hint="eastAsia"/>
          <w:color w:val="000000"/>
          <w:kern w:val="0"/>
          <w:sz w:val="24"/>
          <w:szCs w:val="32"/>
        </w:rPr>
        <w:t>）申报单位营业执照副本或组织机构代码证。</w:t>
      </w:r>
    </w:p>
    <w:p w14:paraId="73F88716"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3</w:t>
      </w:r>
      <w:r w:rsidRPr="00B07051">
        <w:rPr>
          <w:rFonts w:ascii="仿宋_GB2312" w:eastAsia="仿宋_GB2312" w:hAnsi="ˎ̥" w:cs="宋体" w:hint="eastAsia"/>
          <w:color w:val="000000"/>
          <w:kern w:val="0"/>
          <w:sz w:val="24"/>
          <w:szCs w:val="32"/>
        </w:rPr>
        <w:t>）引才对象居民身份证或国（境）外护照、学历学位证书、相关资格、业绩、科研成果等证明材料。</w:t>
      </w:r>
    </w:p>
    <w:p w14:paraId="20634836"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4</w:t>
      </w:r>
      <w:r w:rsidRPr="00B07051">
        <w:rPr>
          <w:rFonts w:ascii="仿宋_GB2312" w:eastAsia="仿宋_GB2312" w:hAnsi="ˎ̥" w:cs="宋体" w:hint="eastAsia"/>
          <w:color w:val="000000"/>
          <w:kern w:val="0"/>
          <w:sz w:val="24"/>
          <w:szCs w:val="32"/>
        </w:rPr>
        <w:t>）专家对申报项目的评审意见及相关行业认证材料。</w:t>
      </w:r>
    </w:p>
    <w:p w14:paraId="1BD604C7"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lastRenderedPageBreak/>
        <w:t>（</w:t>
      </w:r>
      <w:r w:rsidRPr="00B07051">
        <w:rPr>
          <w:rFonts w:ascii="ˎ̥" w:eastAsia="仿宋_GB2312" w:hAnsi="ˎ̥" w:cs="宋体"/>
          <w:color w:val="000000"/>
          <w:kern w:val="0"/>
          <w:sz w:val="24"/>
          <w:szCs w:val="24"/>
        </w:rPr>
        <w:t>5</w:t>
      </w:r>
      <w:r w:rsidRPr="00B07051">
        <w:rPr>
          <w:rFonts w:ascii="仿宋_GB2312" w:eastAsia="仿宋_GB2312" w:hAnsi="ˎ̥" w:cs="宋体" w:hint="eastAsia"/>
          <w:color w:val="000000"/>
          <w:kern w:val="0"/>
          <w:sz w:val="24"/>
          <w:szCs w:val="32"/>
        </w:rPr>
        <w:t>）用人单位与引才对象签订的项目协议或工作合同；给付劳动报酬的相关证明材料（解款单、所得税完税证明等）；国际行程单、交通往返票据等。</w:t>
      </w:r>
    </w:p>
    <w:p w14:paraId="7C8212DE"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2.评审筛选。阳澄湖柔性引才计划评审工作按照公开公正、择优资助的原则，由区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牵头，会同相关职能部门进行综合评审后，提出实地考察名单。</w:t>
      </w:r>
    </w:p>
    <w:p w14:paraId="251AC0EB"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3.实地考察。区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会同各地各有关部门对项目实施情况实地考察评估后，提出阳澄湖柔性引才计划资助项目建议名单。</w:t>
      </w:r>
    </w:p>
    <w:p w14:paraId="0E67AB00"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4.社会公示。建议名单区人才办主任会议审定后，面向社会公示</w:t>
      </w:r>
      <w:r w:rsidRPr="00B07051">
        <w:rPr>
          <w:rFonts w:ascii="ˎ̥" w:eastAsia="仿宋_GB2312" w:hAnsi="ˎ̥" w:cs="宋体"/>
          <w:color w:val="000000"/>
          <w:kern w:val="0"/>
          <w:sz w:val="24"/>
          <w:szCs w:val="24"/>
        </w:rPr>
        <w:t>5</w:t>
      </w:r>
      <w:r w:rsidRPr="00B07051">
        <w:rPr>
          <w:rFonts w:ascii="仿宋_GB2312" w:eastAsia="仿宋_GB2312" w:hAnsi="ˎ̥" w:cs="宋体" w:hint="eastAsia"/>
          <w:color w:val="000000"/>
          <w:kern w:val="0"/>
          <w:sz w:val="24"/>
          <w:szCs w:val="32"/>
        </w:rPr>
        <w:t>个工作日。公示有异议的，由区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进行核查并提出处理意见。</w:t>
      </w:r>
    </w:p>
    <w:p w14:paraId="3A17D83F" w14:textId="77777777" w:rsidR="00B07051" w:rsidRPr="00B07051" w:rsidRDefault="00B07051" w:rsidP="00B07051">
      <w:pPr>
        <w:widowControl/>
        <w:adjustRightInd w:val="0"/>
        <w:snapToGrid w:val="0"/>
        <w:spacing w:line="600" w:lineRule="exact"/>
        <w:ind w:firstLineChars="200" w:firstLine="480"/>
        <w:jc w:val="center"/>
        <w:textAlignment w:val="top"/>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32"/>
        </w:rPr>
        <w:t>5.公布名单。公示无异议的，区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发文公布资助名单。</w:t>
      </w:r>
    </w:p>
    <w:p w14:paraId="3FCFBA09"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黑体" w:eastAsia="黑体" w:hAnsi="宋体" w:cs="宋体" w:hint="eastAsia"/>
          <w:color w:val="000000"/>
          <w:kern w:val="0"/>
          <w:sz w:val="24"/>
          <w:szCs w:val="32"/>
        </w:rPr>
        <w:t>第四章　资助标准</w:t>
      </w:r>
    </w:p>
    <w:p w14:paraId="1F20BA3F" w14:textId="77777777" w:rsidR="00B07051" w:rsidRPr="00B07051" w:rsidRDefault="00B07051" w:rsidP="00B07051">
      <w:pPr>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24"/>
        </w:rPr>
        <w:t>第十条</w:t>
      </w:r>
      <w:r w:rsidRPr="00B07051">
        <w:rPr>
          <w:rFonts w:ascii="ˎ̥" w:eastAsia="宋体" w:hAnsi="ˎ̥" w:cs="宋体"/>
          <w:color w:val="000000"/>
          <w:kern w:val="0"/>
          <w:sz w:val="24"/>
          <w:szCs w:val="24"/>
        </w:rPr>
        <w:t xml:space="preserve">  </w:t>
      </w:r>
      <w:r w:rsidRPr="00B07051">
        <w:rPr>
          <w:rFonts w:ascii="仿宋_GB2312" w:eastAsia="仿宋_GB2312" w:hAnsi="ˎ̥" w:cs="宋体" w:hint="eastAsia"/>
          <w:color w:val="000000"/>
          <w:kern w:val="0"/>
          <w:sz w:val="24"/>
          <w:szCs w:val="24"/>
        </w:rPr>
        <w:t>对入选阳澄湖柔性引才计划的引智项目，按照用人单位支付计缴所得税的劳动报酬情况分层资助：劳动报酬在</w:t>
      </w:r>
      <w:r w:rsidRPr="00B07051">
        <w:rPr>
          <w:rFonts w:ascii="ˎ̥" w:eastAsia="仿宋_GB2312" w:hAnsi="ˎ̥" w:cs="宋体"/>
          <w:color w:val="000000"/>
          <w:kern w:val="0"/>
          <w:sz w:val="24"/>
          <w:szCs w:val="24"/>
        </w:rPr>
        <w:t>20</w:t>
      </w:r>
      <w:r w:rsidRPr="00B07051">
        <w:rPr>
          <w:rFonts w:ascii="仿宋_GB2312" w:eastAsia="仿宋_GB2312" w:hAnsi="ˎ̥" w:cs="宋体" w:hint="eastAsia"/>
          <w:color w:val="000000"/>
          <w:kern w:val="0"/>
          <w:sz w:val="24"/>
          <w:szCs w:val="24"/>
        </w:rPr>
        <w:t>万元及以上的，按劳动报酬的</w:t>
      </w:r>
      <w:r w:rsidRPr="00B07051">
        <w:rPr>
          <w:rFonts w:ascii="ˎ̥" w:eastAsia="仿宋_GB2312" w:hAnsi="ˎ̥" w:cs="宋体"/>
          <w:color w:val="000000"/>
          <w:kern w:val="0"/>
          <w:sz w:val="24"/>
          <w:szCs w:val="24"/>
        </w:rPr>
        <w:t>30%</w:t>
      </w:r>
      <w:r w:rsidRPr="00B07051">
        <w:rPr>
          <w:rFonts w:ascii="仿宋_GB2312" w:eastAsia="仿宋_GB2312" w:hAnsi="ˎ̥" w:cs="宋体" w:hint="eastAsia"/>
          <w:color w:val="000000"/>
          <w:kern w:val="0"/>
          <w:sz w:val="24"/>
          <w:szCs w:val="24"/>
        </w:rPr>
        <w:t>资助；劳动报酬在</w:t>
      </w:r>
      <w:r w:rsidRPr="00B07051">
        <w:rPr>
          <w:rFonts w:ascii="ˎ̥" w:eastAsia="仿宋_GB2312" w:hAnsi="ˎ̥" w:cs="宋体"/>
          <w:color w:val="000000"/>
          <w:kern w:val="0"/>
          <w:sz w:val="24"/>
          <w:szCs w:val="24"/>
        </w:rPr>
        <w:t>10</w:t>
      </w:r>
      <w:r w:rsidRPr="00B07051">
        <w:rPr>
          <w:rFonts w:ascii="仿宋_GB2312" w:eastAsia="仿宋_GB2312" w:hAnsi="ˎ̥" w:cs="宋体" w:hint="eastAsia"/>
          <w:color w:val="000000"/>
          <w:kern w:val="0"/>
          <w:sz w:val="24"/>
          <w:szCs w:val="24"/>
        </w:rPr>
        <w:t>万元及以上、</w:t>
      </w:r>
      <w:r w:rsidRPr="00B07051">
        <w:rPr>
          <w:rFonts w:ascii="ˎ̥" w:eastAsia="仿宋_GB2312" w:hAnsi="ˎ̥" w:cs="宋体"/>
          <w:color w:val="000000"/>
          <w:kern w:val="0"/>
          <w:sz w:val="24"/>
          <w:szCs w:val="24"/>
        </w:rPr>
        <w:t>20</w:t>
      </w:r>
      <w:r w:rsidRPr="00B07051">
        <w:rPr>
          <w:rFonts w:ascii="仿宋_GB2312" w:eastAsia="仿宋_GB2312" w:hAnsi="ˎ̥" w:cs="宋体" w:hint="eastAsia"/>
          <w:color w:val="000000"/>
          <w:kern w:val="0"/>
          <w:sz w:val="24"/>
          <w:szCs w:val="24"/>
        </w:rPr>
        <w:t>万元以下的，按劳动报酬的</w:t>
      </w:r>
      <w:r w:rsidRPr="00B07051">
        <w:rPr>
          <w:rFonts w:ascii="ˎ̥" w:eastAsia="仿宋_GB2312" w:hAnsi="ˎ̥" w:cs="宋体"/>
          <w:color w:val="000000"/>
          <w:kern w:val="0"/>
          <w:sz w:val="24"/>
          <w:szCs w:val="24"/>
        </w:rPr>
        <w:t>25%</w:t>
      </w:r>
      <w:r w:rsidRPr="00B07051">
        <w:rPr>
          <w:rFonts w:ascii="仿宋_GB2312" w:eastAsia="仿宋_GB2312" w:hAnsi="ˎ̥" w:cs="宋体" w:hint="eastAsia"/>
          <w:color w:val="000000"/>
          <w:kern w:val="0"/>
          <w:sz w:val="24"/>
          <w:szCs w:val="24"/>
        </w:rPr>
        <w:t>资助；劳动报酬在</w:t>
      </w:r>
      <w:r w:rsidRPr="00B07051">
        <w:rPr>
          <w:rFonts w:ascii="ˎ̥" w:eastAsia="仿宋_GB2312" w:hAnsi="ˎ̥" w:cs="宋体"/>
          <w:color w:val="000000"/>
          <w:kern w:val="0"/>
          <w:sz w:val="24"/>
          <w:szCs w:val="24"/>
        </w:rPr>
        <w:t>3</w:t>
      </w:r>
      <w:r w:rsidRPr="00B07051">
        <w:rPr>
          <w:rFonts w:ascii="仿宋_GB2312" w:eastAsia="仿宋_GB2312" w:hAnsi="ˎ̥" w:cs="宋体" w:hint="eastAsia"/>
          <w:color w:val="000000"/>
          <w:kern w:val="0"/>
          <w:sz w:val="24"/>
          <w:szCs w:val="24"/>
        </w:rPr>
        <w:t>万元及以上、</w:t>
      </w:r>
      <w:r w:rsidRPr="00B07051">
        <w:rPr>
          <w:rFonts w:ascii="ˎ̥" w:eastAsia="仿宋_GB2312" w:hAnsi="ˎ̥" w:cs="宋体"/>
          <w:color w:val="000000"/>
          <w:kern w:val="0"/>
          <w:sz w:val="24"/>
          <w:szCs w:val="24"/>
        </w:rPr>
        <w:t>10</w:t>
      </w:r>
      <w:r w:rsidRPr="00B07051">
        <w:rPr>
          <w:rFonts w:ascii="仿宋_GB2312" w:eastAsia="仿宋_GB2312" w:hAnsi="ˎ̥" w:cs="宋体" w:hint="eastAsia"/>
          <w:color w:val="000000"/>
          <w:kern w:val="0"/>
          <w:sz w:val="24"/>
          <w:szCs w:val="24"/>
        </w:rPr>
        <w:t>万元以下的，给予</w:t>
      </w:r>
      <w:r w:rsidRPr="00B07051">
        <w:rPr>
          <w:rFonts w:ascii="ˎ̥" w:eastAsia="仿宋_GB2312" w:hAnsi="ˎ̥" w:cs="宋体"/>
          <w:color w:val="000000"/>
          <w:kern w:val="0"/>
          <w:sz w:val="24"/>
          <w:szCs w:val="24"/>
        </w:rPr>
        <w:t>2</w:t>
      </w:r>
      <w:r w:rsidRPr="00B07051">
        <w:rPr>
          <w:rFonts w:ascii="仿宋_GB2312" w:eastAsia="仿宋_GB2312" w:hAnsi="ˎ̥" w:cs="宋体" w:hint="eastAsia"/>
          <w:color w:val="000000"/>
          <w:kern w:val="0"/>
          <w:sz w:val="24"/>
          <w:szCs w:val="24"/>
        </w:rPr>
        <w:t>万元资助；对不以支付劳动报酬形式开展项目合作的，给予</w:t>
      </w:r>
      <w:r w:rsidRPr="00B07051">
        <w:rPr>
          <w:rFonts w:ascii="ˎ̥" w:eastAsia="仿宋_GB2312" w:hAnsi="ˎ̥" w:cs="宋体"/>
          <w:color w:val="000000"/>
          <w:kern w:val="0"/>
          <w:sz w:val="24"/>
          <w:szCs w:val="24"/>
        </w:rPr>
        <w:t>1</w:t>
      </w:r>
      <w:r w:rsidRPr="00B07051">
        <w:rPr>
          <w:rFonts w:ascii="仿宋_GB2312" w:eastAsia="仿宋_GB2312" w:hAnsi="ˎ̥" w:cs="宋体" w:hint="eastAsia"/>
          <w:color w:val="000000"/>
          <w:kern w:val="0"/>
          <w:sz w:val="24"/>
          <w:szCs w:val="24"/>
        </w:rPr>
        <w:t>万元资助。</w:t>
      </w:r>
    </w:p>
    <w:p w14:paraId="4595C799"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仿宋_GB2312" w:eastAsia="仿宋_GB2312" w:hAnsi="ˎ̥" w:cs="宋体" w:hint="eastAsia"/>
          <w:color w:val="000000"/>
          <w:kern w:val="0"/>
          <w:sz w:val="24"/>
          <w:szCs w:val="24"/>
        </w:rPr>
        <w:t>经推荐获评苏州市“海鸥计划”资助的，直接入选当年度阳澄湖柔性引才计划，按上述规定享受资助外，叠加享受市财政给予的资助额度。单个项目最高资助额不超过</w:t>
      </w:r>
      <w:r w:rsidRPr="00B07051">
        <w:rPr>
          <w:rFonts w:ascii="ˎ̥" w:eastAsia="仿宋_GB2312" w:hAnsi="ˎ̥" w:cs="宋体"/>
          <w:color w:val="000000"/>
          <w:kern w:val="0"/>
          <w:sz w:val="24"/>
          <w:szCs w:val="24"/>
        </w:rPr>
        <w:t>50</w:t>
      </w:r>
      <w:r w:rsidRPr="00B07051">
        <w:rPr>
          <w:rFonts w:ascii="仿宋_GB2312" w:eastAsia="仿宋_GB2312" w:hAnsi="ˎ̥" w:cs="宋体" w:hint="eastAsia"/>
          <w:color w:val="000000"/>
          <w:kern w:val="0"/>
          <w:sz w:val="24"/>
          <w:szCs w:val="24"/>
        </w:rPr>
        <w:t>万元。单个申报单位年度最高资助额不超过</w:t>
      </w:r>
      <w:r w:rsidRPr="00B07051">
        <w:rPr>
          <w:rFonts w:ascii="ˎ̥" w:eastAsia="仿宋_GB2312" w:hAnsi="ˎ̥" w:cs="宋体"/>
          <w:color w:val="000000"/>
          <w:kern w:val="0"/>
          <w:sz w:val="24"/>
          <w:szCs w:val="24"/>
        </w:rPr>
        <w:t>100</w:t>
      </w:r>
      <w:r w:rsidRPr="00B07051">
        <w:rPr>
          <w:rFonts w:ascii="仿宋_GB2312" w:eastAsia="仿宋_GB2312" w:hAnsi="ˎ̥" w:cs="宋体" w:hint="eastAsia"/>
          <w:color w:val="000000"/>
          <w:kern w:val="0"/>
          <w:sz w:val="24"/>
          <w:szCs w:val="24"/>
        </w:rPr>
        <w:t>万元。</w:t>
      </w:r>
    </w:p>
    <w:p w14:paraId="1E1701B7"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黑体" w:eastAsia="黑体" w:hAnsi="Times New Roman" w:cs="宋体" w:hint="eastAsia"/>
          <w:color w:val="000000"/>
          <w:kern w:val="0"/>
          <w:sz w:val="24"/>
          <w:szCs w:val="24"/>
        </w:rPr>
        <w:t>第十一条</w:t>
      </w:r>
      <w:r w:rsidRPr="00B07051">
        <w:rPr>
          <w:rFonts w:ascii="ˎ̥" w:eastAsia="宋体" w:hAnsi="ˎ̥" w:cs="宋体"/>
          <w:color w:val="FF0000"/>
          <w:kern w:val="0"/>
          <w:sz w:val="24"/>
          <w:szCs w:val="24"/>
        </w:rPr>
        <w:t xml:space="preserve">  </w:t>
      </w:r>
      <w:r w:rsidRPr="00B07051">
        <w:rPr>
          <w:rFonts w:ascii="仿宋_GB2312" w:eastAsia="仿宋_GB2312" w:hAnsi="ˎ̥" w:cs="宋体" w:hint="eastAsia"/>
          <w:color w:val="000000"/>
          <w:kern w:val="0"/>
          <w:sz w:val="24"/>
          <w:szCs w:val="24"/>
        </w:rPr>
        <w:t>符合阳澄湖柔性引才计划申报条件并经推荐入选省级以上引进国外技术、管理人才项目计划的，直接入选当年度阳澄湖柔性引才计划，按上级文件有关规定给予匹配资助。单个项目最高资助额不超过</w:t>
      </w:r>
      <w:r w:rsidRPr="00B07051">
        <w:rPr>
          <w:rFonts w:ascii="ˎ̥" w:eastAsia="仿宋_GB2312" w:hAnsi="ˎ̥" w:cs="宋体"/>
          <w:color w:val="000000"/>
          <w:kern w:val="0"/>
          <w:sz w:val="24"/>
          <w:szCs w:val="24"/>
        </w:rPr>
        <w:t>50</w:t>
      </w:r>
      <w:r w:rsidRPr="00B07051">
        <w:rPr>
          <w:rFonts w:ascii="仿宋_GB2312" w:eastAsia="仿宋_GB2312" w:hAnsi="ˎ̥" w:cs="宋体" w:hint="eastAsia"/>
          <w:color w:val="000000"/>
          <w:kern w:val="0"/>
          <w:sz w:val="24"/>
          <w:szCs w:val="24"/>
        </w:rPr>
        <w:t>万元。</w:t>
      </w:r>
    </w:p>
    <w:p w14:paraId="73A987BE"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黑体" w:eastAsia="黑体" w:hAnsi="宋体" w:cs="宋体" w:hint="eastAsia"/>
          <w:color w:val="000000"/>
          <w:kern w:val="0"/>
          <w:sz w:val="24"/>
          <w:szCs w:val="32"/>
        </w:rPr>
        <w:t>第五章　资金管理</w:t>
      </w:r>
    </w:p>
    <w:p w14:paraId="49C9820D"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lastRenderedPageBreak/>
        <w:t>第十二条</w:t>
      </w:r>
      <w:r w:rsidRPr="00B07051">
        <w:rPr>
          <w:rFonts w:ascii="ˎ̥" w:eastAsia="宋体" w:hAnsi="ˎ̥" w:cs="宋体"/>
          <w:color w:val="000000"/>
          <w:kern w:val="0"/>
          <w:sz w:val="24"/>
          <w:szCs w:val="24"/>
        </w:rPr>
        <w:t xml:space="preserve">  </w:t>
      </w:r>
      <w:r w:rsidRPr="00B07051">
        <w:rPr>
          <w:rFonts w:ascii="仿宋_GB2312" w:eastAsia="仿宋_GB2312" w:hAnsi="ˎ̥" w:cs="宋体" w:hint="eastAsia"/>
          <w:color w:val="000000"/>
          <w:kern w:val="0"/>
          <w:sz w:val="24"/>
          <w:szCs w:val="32"/>
        </w:rPr>
        <w:t>各镇（街道）、开发区、高新区（筹）、高铁新城、度假区范围内的资助单位，资助资金由区与镇（街道）、开发区、高新区（筹）、高铁新城、度假区按</w:t>
      </w:r>
      <w:r w:rsidRPr="00B07051">
        <w:rPr>
          <w:rFonts w:ascii="ˎ̥" w:eastAsia="仿宋_GB2312" w:hAnsi="ˎ̥" w:cs="宋体"/>
          <w:color w:val="000000"/>
          <w:kern w:val="0"/>
          <w:sz w:val="24"/>
          <w:szCs w:val="24"/>
        </w:rPr>
        <w:t>7:3</w:t>
      </w:r>
      <w:r w:rsidRPr="00B07051">
        <w:rPr>
          <w:rFonts w:ascii="仿宋_GB2312" w:eastAsia="仿宋_GB2312" w:hAnsi="ˎ̥" w:cs="宋体" w:hint="eastAsia"/>
          <w:color w:val="000000"/>
          <w:kern w:val="0"/>
          <w:sz w:val="24"/>
          <w:szCs w:val="32"/>
        </w:rPr>
        <w:t>的比例分担。区属单位资助资金由区财政按资助标准全额承担。区财政承担部分列入区人才开发资金年度预算。</w:t>
      </w:r>
    </w:p>
    <w:p w14:paraId="528F1AA4"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第十三条</w:t>
      </w:r>
      <w:r w:rsidRPr="00B07051">
        <w:rPr>
          <w:rFonts w:ascii="ˎ̥" w:eastAsia="宋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阳澄湖柔性引才计划资助资金由区</w:t>
      </w:r>
      <w:proofErr w:type="gramStart"/>
      <w:r w:rsidRPr="00B07051">
        <w:rPr>
          <w:rFonts w:ascii="Times New Roman" w:eastAsia="仿宋_GB2312" w:hAnsi="ˎ̥" w:cs="宋体" w:hint="eastAsia"/>
          <w:color w:val="000000"/>
          <w:kern w:val="0"/>
          <w:sz w:val="24"/>
          <w:szCs w:val="32"/>
        </w:rPr>
        <w:t>人社局</w:t>
      </w:r>
      <w:proofErr w:type="gramEnd"/>
      <w:r w:rsidRPr="00B07051">
        <w:rPr>
          <w:rFonts w:ascii="Times New Roman" w:eastAsia="仿宋_GB2312" w:hAnsi="ˎ̥" w:cs="宋体" w:hint="eastAsia"/>
          <w:color w:val="000000"/>
          <w:kern w:val="0"/>
          <w:sz w:val="24"/>
          <w:szCs w:val="32"/>
        </w:rPr>
        <w:t>会同区财政局在下一财政年度划拨至受资助单位所在地财政部门。</w:t>
      </w:r>
      <w:r w:rsidRPr="00B07051">
        <w:rPr>
          <w:rFonts w:ascii="Verdana" w:eastAsia="仿宋_GB2312" w:hAnsi="Verdana" w:cs="宋体" w:hint="eastAsia"/>
          <w:color w:val="000000"/>
          <w:kern w:val="0"/>
          <w:sz w:val="24"/>
          <w:szCs w:val="21"/>
        </w:rPr>
        <w:t>申报单位须保证材料的真实性，如有弄虚作假行为，</w:t>
      </w:r>
      <w:r w:rsidRPr="00B07051">
        <w:rPr>
          <w:rFonts w:ascii="仿宋_GB2312" w:eastAsia="仿宋_GB2312" w:hAnsi="宋体" w:cs="宋体" w:hint="eastAsia"/>
          <w:color w:val="000000"/>
          <w:kern w:val="0"/>
          <w:sz w:val="24"/>
          <w:szCs w:val="32"/>
        </w:rPr>
        <w:t>一经查实，追缴资助资金，</w:t>
      </w:r>
      <w:r w:rsidRPr="00B07051">
        <w:rPr>
          <w:rFonts w:ascii="ˎ̥" w:eastAsia="仿宋_GB2312" w:hAnsi="ˎ̥" w:cs="宋体"/>
          <w:color w:val="000000"/>
          <w:kern w:val="0"/>
          <w:sz w:val="24"/>
          <w:szCs w:val="24"/>
        </w:rPr>
        <w:t>3</w:t>
      </w:r>
      <w:r w:rsidRPr="00B07051">
        <w:rPr>
          <w:rFonts w:ascii="仿宋_GB2312" w:eastAsia="仿宋_GB2312" w:hAnsi="宋体" w:cs="宋体" w:hint="eastAsia"/>
          <w:color w:val="000000"/>
          <w:kern w:val="0"/>
          <w:sz w:val="24"/>
          <w:szCs w:val="32"/>
        </w:rPr>
        <w:t>年内不再受理申报单位引智项目资助的申请</w:t>
      </w:r>
      <w:r w:rsidRPr="00B07051">
        <w:rPr>
          <w:rFonts w:ascii="Times New Roman" w:eastAsia="仿宋_GB2312" w:hAnsi="ˎ̥" w:cs="宋体" w:hint="eastAsia"/>
          <w:color w:val="000000"/>
          <w:kern w:val="0"/>
          <w:sz w:val="24"/>
          <w:szCs w:val="32"/>
        </w:rPr>
        <w:t>。</w:t>
      </w:r>
    </w:p>
    <w:p w14:paraId="56FDF153"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第十四条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根据《苏州市相城区人才开发资金管理使用办法》有关规定，区财政局会同有关部门对资助资金使用绩效进行评估。</w:t>
      </w:r>
    </w:p>
    <w:p w14:paraId="671FDEA2" w14:textId="77777777" w:rsidR="00B07051" w:rsidRPr="00B07051" w:rsidRDefault="00B07051" w:rsidP="00B07051">
      <w:pPr>
        <w:widowControl/>
        <w:spacing w:line="600" w:lineRule="exact"/>
        <w:jc w:val="center"/>
        <w:rPr>
          <w:rFonts w:ascii="ˎ̥" w:eastAsia="宋体" w:hAnsi="ˎ̥" w:cs="宋体"/>
          <w:color w:val="000000"/>
          <w:kern w:val="0"/>
          <w:sz w:val="24"/>
          <w:szCs w:val="24"/>
        </w:rPr>
      </w:pPr>
      <w:r w:rsidRPr="00B07051">
        <w:rPr>
          <w:rFonts w:ascii="黑体" w:eastAsia="黑体" w:hAnsi="宋体" w:cs="宋体" w:hint="eastAsia"/>
          <w:color w:val="000000"/>
          <w:kern w:val="0"/>
          <w:sz w:val="24"/>
          <w:szCs w:val="32"/>
        </w:rPr>
        <w:t>第六章　附</w:t>
      </w:r>
      <w:r w:rsidRPr="00B07051">
        <w:rPr>
          <w:rFonts w:ascii="ˎ̥" w:eastAsia="黑体" w:hAnsi="ˎ̥" w:cs="宋体"/>
          <w:color w:val="000000"/>
          <w:kern w:val="0"/>
          <w:sz w:val="24"/>
          <w:szCs w:val="24"/>
        </w:rPr>
        <w:t xml:space="preserve">  </w:t>
      </w:r>
      <w:r w:rsidRPr="00B07051">
        <w:rPr>
          <w:rFonts w:ascii="黑体" w:eastAsia="黑体" w:hAnsi="宋体" w:cs="宋体" w:hint="eastAsia"/>
          <w:color w:val="000000"/>
          <w:kern w:val="0"/>
          <w:sz w:val="24"/>
          <w:szCs w:val="32"/>
        </w:rPr>
        <w:t>则</w:t>
      </w:r>
    </w:p>
    <w:p w14:paraId="4CACD2C1" w14:textId="77777777" w:rsidR="00B07051" w:rsidRPr="00B07051" w:rsidRDefault="00B07051" w:rsidP="00B07051">
      <w:pPr>
        <w:widowControl/>
        <w:spacing w:line="600" w:lineRule="exact"/>
        <w:ind w:firstLineChars="200" w:firstLine="480"/>
        <w:jc w:val="center"/>
        <w:rPr>
          <w:rFonts w:ascii="ˎ̥" w:eastAsia="宋体" w:hAnsi="ˎ̥" w:cs="宋体"/>
          <w:color w:val="000000"/>
          <w:kern w:val="0"/>
          <w:sz w:val="24"/>
          <w:szCs w:val="24"/>
        </w:rPr>
      </w:pPr>
      <w:r w:rsidRPr="00B07051">
        <w:rPr>
          <w:rFonts w:ascii="Times New Roman" w:eastAsia="黑体" w:hAnsi="Times New Roman" w:cs="宋体" w:hint="eastAsia"/>
          <w:color w:val="000000"/>
          <w:kern w:val="0"/>
          <w:sz w:val="24"/>
          <w:szCs w:val="32"/>
        </w:rPr>
        <w:t>第十五条</w:t>
      </w:r>
      <w:r w:rsidRPr="00B07051">
        <w:rPr>
          <w:rFonts w:ascii="ˎ̥" w:eastAsia="黑体" w:hAnsi="ˎ̥" w:cs="宋体"/>
          <w:color w:val="000000"/>
          <w:kern w:val="0"/>
          <w:sz w:val="24"/>
          <w:szCs w:val="24"/>
        </w:rPr>
        <w:t xml:space="preserve">  </w:t>
      </w:r>
      <w:r w:rsidRPr="00B07051">
        <w:rPr>
          <w:rFonts w:ascii="Times New Roman" w:eastAsia="仿宋_GB2312" w:hAnsi="ˎ̥" w:cs="宋体" w:hint="eastAsia"/>
          <w:color w:val="000000"/>
          <w:kern w:val="0"/>
          <w:sz w:val="24"/>
          <w:szCs w:val="32"/>
        </w:rPr>
        <w:t>阳澄湖柔性引才计划获</w:t>
      </w:r>
      <w:proofErr w:type="gramStart"/>
      <w:r w:rsidRPr="00B07051">
        <w:rPr>
          <w:rFonts w:ascii="Times New Roman" w:eastAsia="仿宋_GB2312" w:hAnsi="ˎ̥" w:cs="宋体" w:hint="eastAsia"/>
          <w:color w:val="000000"/>
          <w:kern w:val="0"/>
          <w:sz w:val="24"/>
          <w:szCs w:val="32"/>
        </w:rPr>
        <w:t>评情况</w:t>
      </w:r>
      <w:proofErr w:type="gramEnd"/>
      <w:r w:rsidRPr="00B07051">
        <w:rPr>
          <w:rFonts w:ascii="Times New Roman" w:eastAsia="仿宋_GB2312" w:hAnsi="ˎ̥" w:cs="宋体" w:hint="eastAsia"/>
          <w:color w:val="000000"/>
          <w:kern w:val="0"/>
          <w:sz w:val="24"/>
          <w:szCs w:val="32"/>
        </w:rPr>
        <w:t>列入各镇（街道）、开发区、高新区（筹）、高铁新城、度假区人才科技工作目标责任制考核。</w:t>
      </w:r>
    </w:p>
    <w:p w14:paraId="09329E92" w14:textId="1D1E1127" w:rsidR="005E3F21" w:rsidRDefault="00B07051" w:rsidP="00B07051">
      <w:pPr>
        <w:rPr>
          <w:rFonts w:hint="eastAsia"/>
        </w:rPr>
      </w:pPr>
      <w:r w:rsidRPr="00B07051">
        <w:rPr>
          <w:rFonts w:ascii="Times New Roman" w:eastAsia="黑体" w:hAnsi="Times New Roman" w:cs="宋体" w:hint="eastAsia"/>
          <w:color w:val="000000"/>
          <w:kern w:val="0"/>
          <w:sz w:val="24"/>
          <w:szCs w:val="32"/>
        </w:rPr>
        <w:t>第十六条</w:t>
      </w:r>
      <w:r w:rsidRPr="00B07051">
        <w:rPr>
          <w:rFonts w:ascii="ˎ̥" w:eastAsia="宋体" w:hAnsi="ˎ̥" w:cs="宋体"/>
          <w:color w:val="000000"/>
          <w:kern w:val="0"/>
          <w:sz w:val="24"/>
          <w:szCs w:val="24"/>
        </w:rPr>
        <w:t xml:space="preserve">  </w:t>
      </w:r>
      <w:r w:rsidRPr="00B07051">
        <w:rPr>
          <w:rFonts w:ascii="仿宋_GB2312" w:eastAsia="仿宋_GB2312" w:hAnsi="ˎ̥" w:cs="宋体" w:hint="eastAsia"/>
          <w:color w:val="000000"/>
          <w:kern w:val="0"/>
          <w:sz w:val="24"/>
          <w:szCs w:val="32"/>
        </w:rPr>
        <w:t>本细则由区</w:t>
      </w:r>
      <w:proofErr w:type="gramStart"/>
      <w:r w:rsidRPr="00B07051">
        <w:rPr>
          <w:rFonts w:ascii="仿宋_GB2312" w:eastAsia="仿宋_GB2312" w:hAnsi="ˎ̥" w:cs="宋体" w:hint="eastAsia"/>
          <w:color w:val="000000"/>
          <w:kern w:val="0"/>
          <w:sz w:val="24"/>
          <w:szCs w:val="32"/>
        </w:rPr>
        <w:t>人社局</w:t>
      </w:r>
      <w:proofErr w:type="gramEnd"/>
      <w:r w:rsidRPr="00B07051">
        <w:rPr>
          <w:rFonts w:ascii="仿宋_GB2312" w:eastAsia="仿宋_GB2312" w:hAnsi="ˎ̥" w:cs="宋体" w:hint="eastAsia"/>
          <w:color w:val="000000"/>
          <w:kern w:val="0"/>
          <w:sz w:val="24"/>
          <w:szCs w:val="32"/>
        </w:rPr>
        <w:t>负责解释，自</w:t>
      </w:r>
      <w:r w:rsidRPr="00B07051">
        <w:rPr>
          <w:rFonts w:ascii="ˎ̥" w:eastAsia="仿宋_GB2312" w:hAnsi="ˎ̥" w:cs="宋体"/>
          <w:color w:val="000000"/>
          <w:kern w:val="0"/>
          <w:sz w:val="24"/>
          <w:szCs w:val="24"/>
        </w:rPr>
        <w:t>2017</w:t>
      </w:r>
      <w:r w:rsidRPr="00B07051">
        <w:rPr>
          <w:rFonts w:ascii="仿宋_GB2312" w:eastAsia="仿宋_GB2312" w:hAnsi="ˎ̥" w:cs="宋体" w:hint="eastAsia"/>
          <w:color w:val="000000"/>
          <w:kern w:val="0"/>
          <w:sz w:val="24"/>
          <w:szCs w:val="32"/>
        </w:rPr>
        <w:t>年</w:t>
      </w:r>
      <w:r w:rsidRPr="00B07051">
        <w:rPr>
          <w:rFonts w:ascii="ˎ̥" w:eastAsia="仿宋_GB2312" w:hAnsi="ˎ̥" w:cs="宋体"/>
          <w:color w:val="000000"/>
          <w:kern w:val="0"/>
          <w:sz w:val="24"/>
          <w:szCs w:val="24"/>
        </w:rPr>
        <w:t>1</w:t>
      </w:r>
      <w:r w:rsidRPr="00B07051">
        <w:rPr>
          <w:rFonts w:ascii="仿宋_GB2312" w:eastAsia="仿宋_GB2312" w:hAnsi="ˎ̥" w:cs="宋体" w:hint="eastAsia"/>
          <w:color w:val="000000"/>
          <w:kern w:val="0"/>
          <w:sz w:val="24"/>
          <w:szCs w:val="32"/>
        </w:rPr>
        <w:t>月</w:t>
      </w:r>
      <w:r w:rsidRPr="00B07051">
        <w:rPr>
          <w:rFonts w:ascii="ˎ̥" w:eastAsia="仿宋_GB2312" w:hAnsi="ˎ̥" w:cs="宋体"/>
          <w:color w:val="000000"/>
          <w:kern w:val="0"/>
          <w:sz w:val="24"/>
          <w:szCs w:val="24"/>
        </w:rPr>
        <w:t>1</w:t>
      </w:r>
      <w:r w:rsidRPr="00B07051">
        <w:rPr>
          <w:rFonts w:ascii="仿宋_GB2312" w:eastAsia="仿宋_GB2312" w:hAnsi="ˎ̥" w:cs="宋体" w:hint="eastAsia"/>
          <w:color w:val="000000"/>
          <w:kern w:val="0"/>
          <w:sz w:val="24"/>
          <w:szCs w:val="32"/>
        </w:rPr>
        <w:t>日起施行。《阳澄湖智力集聚计划实施细则》（相委办〔</w:t>
      </w:r>
      <w:r w:rsidRPr="00B07051">
        <w:rPr>
          <w:rFonts w:ascii="ˎ̥" w:eastAsia="仿宋_GB2312" w:hAnsi="ˎ̥" w:cs="宋体"/>
          <w:color w:val="000000"/>
          <w:kern w:val="0"/>
          <w:sz w:val="24"/>
          <w:szCs w:val="24"/>
        </w:rPr>
        <w:t>2015</w:t>
      </w:r>
      <w:r w:rsidRPr="00B07051">
        <w:rPr>
          <w:rFonts w:ascii="仿宋_GB2312" w:eastAsia="仿宋_GB2312" w:hAnsi="ˎ̥" w:cs="宋体" w:hint="eastAsia"/>
          <w:color w:val="000000"/>
          <w:kern w:val="0"/>
          <w:sz w:val="24"/>
          <w:szCs w:val="32"/>
        </w:rPr>
        <w:t>〕</w:t>
      </w:r>
      <w:r w:rsidRPr="00B07051">
        <w:rPr>
          <w:rFonts w:ascii="ˎ̥" w:eastAsia="仿宋_GB2312" w:hAnsi="ˎ̥" w:cs="宋体"/>
          <w:color w:val="000000"/>
          <w:kern w:val="0"/>
          <w:sz w:val="24"/>
          <w:szCs w:val="24"/>
        </w:rPr>
        <w:t>80</w:t>
      </w:r>
      <w:r w:rsidRPr="00B07051">
        <w:rPr>
          <w:rFonts w:ascii="仿宋_GB2312" w:eastAsia="仿宋_GB2312" w:hAnsi="ˎ̥" w:cs="宋体" w:hint="eastAsia"/>
          <w:color w:val="000000"/>
          <w:kern w:val="0"/>
          <w:sz w:val="24"/>
          <w:szCs w:val="32"/>
        </w:rPr>
        <w:t>号）同时废止。</w:t>
      </w:r>
      <w:bookmarkStart w:id="1" w:name="_GoBack"/>
      <w:bookmarkEnd w:id="1"/>
    </w:p>
    <w:sectPr w:rsidR="005E3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ˎ̥">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57"/>
    <w:rsid w:val="005E3F21"/>
    <w:rsid w:val="00B07051"/>
    <w:rsid w:val="00F9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2AE81-F4E4-476B-8F57-3B64BA60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4419">
      <w:bodyDiv w:val="1"/>
      <w:marLeft w:val="0"/>
      <w:marRight w:val="0"/>
      <w:marTop w:val="0"/>
      <w:marBottom w:val="0"/>
      <w:divBdr>
        <w:top w:val="none" w:sz="0" w:space="0" w:color="auto"/>
        <w:left w:val="none" w:sz="0" w:space="0" w:color="auto"/>
        <w:bottom w:val="none" w:sz="0" w:space="0" w:color="auto"/>
        <w:right w:val="none" w:sz="0" w:space="0" w:color="auto"/>
      </w:divBdr>
      <w:divsChild>
        <w:div w:id="2004576997">
          <w:marLeft w:val="0"/>
          <w:marRight w:val="0"/>
          <w:marTop w:val="0"/>
          <w:marBottom w:val="0"/>
          <w:divBdr>
            <w:top w:val="none" w:sz="0" w:space="0" w:color="auto"/>
            <w:left w:val="none" w:sz="0" w:space="0" w:color="auto"/>
            <w:bottom w:val="none" w:sz="0" w:space="0" w:color="auto"/>
            <w:right w:val="none" w:sz="0" w:space="0" w:color="auto"/>
          </w:divBdr>
          <w:divsChild>
            <w:div w:id="473983883">
              <w:marLeft w:val="0"/>
              <w:marRight w:val="0"/>
              <w:marTop w:val="0"/>
              <w:marBottom w:val="0"/>
              <w:divBdr>
                <w:top w:val="none" w:sz="0" w:space="0" w:color="auto"/>
                <w:left w:val="none" w:sz="0" w:space="0" w:color="auto"/>
                <w:bottom w:val="none" w:sz="0" w:space="0" w:color="auto"/>
                <w:right w:val="none" w:sz="0" w:space="0" w:color="auto"/>
              </w:divBdr>
            </w:div>
            <w:div w:id="1727146985">
              <w:marLeft w:val="0"/>
              <w:marRight w:val="624"/>
              <w:marTop w:val="0"/>
              <w:marBottom w:val="0"/>
              <w:divBdr>
                <w:top w:val="none" w:sz="0" w:space="0" w:color="auto"/>
                <w:left w:val="none" w:sz="0" w:space="0" w:color="auto"/>
                <w:bottom w:val="none" w:sz="0" w:space="0" w:color="auto"/>
                <w:right w:val="none" w:sz="0" w:space="0" w:color="auto"/>
              </w:divBdr>
            </w:div>
            <w:div w:id="672995621">
              <w:marLeft w:val="0"/>
              <w:marRight w:val="624"/>
              <w:marTop w:val="0"/>
              <w:marBottom w:val="0"/>
              <w:divBdr>
                <w:top w:val="none" w:sz="0" w:space="0" w:color="auto"/>
                <w:left w:val="none" w:sz="0" w:space="0" w:color="auto"/>
                <w:bottom w:val="none" w:sz="0" w:space="0" w:color="auto"/>
                <w:right w:val="none" w:sz="0" w:space="0" w:color="auto"/>
              </w:divBdr>
            </w:div>
            <w:div w:id="780615546">
              <w:marLeft w:val="0"/>
              <w:marRight w:val="624"/>
              <w:marTop w:val="0"/>
              <w:marBottom w:val="0"/>
              <w:divBdr>
                <w:top w:val="none" w:sz="0" w:space="0" w:color="auto"/>
                <w:left w:val="none" w:sz="0" w:space="0" w:color="auto"/>
                <w:bottom w:val="none" w:sz="0" w:space="0" w:color="auto"/>
                <w:right w:val="none" w:sz="0" w:space="0" w:color="auto"/>
              </w:divBdr>
            </w:div>
            <w:div w:id="1344431904">
              <w:marLeft w:val="0"/>
              <w:marRight w:val="0"/>
              <w:marTop w:val="0"/>
              <w:marBottom w:val="0"/>
              <w:divBdr>
                <w:top w:val="none" w:sz="0" w:space="0" w:color="auto"/>
                <w:left w:val="none" w:sz="0" w:space="0" w:color="auto"/>
                <w:bottom w:val="none" w:sz="0" w:space="0" w:color="auto"/>
                <w:right w:val="none" w:sz="0" w:space="0" w:color="auto"/>
              </w:divBdr>
            </w:div>
            <w:div w:id="1285575239">
              <w:marLeft w:val="0"/>
              <w:marRight w:val="0"/>
              <w:marTop w:val="0"/>
              <w:marBottom w:val="0"/>
              <w:divBdr>
                <w:top w:val="none" w:sz="0" w:space="0" w:color="auto"/>
                <w:left w:val="none" w:sz="0" w:space="0" w:color="auto"/>
                <w:bottom w:val="none" w:sz="0" w:space="0" w:color="auto"/>
                <w:right w:val="none" w:sz="0" w:space="0" w:color="auto"/>
              </w:divBdr>
            </w:div>
            <w:div w:id="2109570598">
              <w:marLeft w:val="0"/>
              <w:marRight w:val="0"/>
              <w:marTop w:val="0"/>
              <w:marBottom w:val="100"/>
              <w:divBdr>
                <w:top w:val="none" w:sz="0" w:space="0" w:color="auto"/>
                <w:left w:val="none" w:sz="0" w:space="0" w:color="auto"/>
                <w:bottom w:val="none" w:sz="0" w:space="0" w:color="auto"/>
                <w:right w:val="none" w:sz="0" w:space="0" w:color="auto"/>
              </w:divBdr>
            </w:div>
            <w:div w:id="617643362">
              <w:marLeft w:val="0"/>
              <w:marRight w:val="0"/>
              <w:marTop w:val="0"/>
              <w:marBottom w:val="100"/>
              <w:divBdr>
                <w:top w:val="none" w:sz="0" w:space="0" w:color="auto"/>
                <w:left w:val="none" w:sz="0" w:space="0" w:color="auto"/>
                <w:bottom w:val="none" w:sz="0" w:space="0" w:color="auto"/>
                <w:right w:val="none" w:sz="0" w:space="0" w:color="auto"/>
              </w:divBdr>
            </w:div>
            <w:div w:id="1444685609">
              <w:marLeft w:val="0"/>
              <w:marRight w:val="0"/>
              <w:marTop w:val="0"/>
              <w:marBottom w:val="0"/>
              <w:divBdr>
                <w:top w:val="none" w:sz="0" w:space="0" w:color="auto"/>
                <w:left w:val="none" w:sz="0" w:space="0" w:color="auto"/>
                <w:bottom w:val="none" w:sz="0" w:space="0" w:color="auto"/>
                <w:right w:val="none" w:sz="0" w:space="0" w:color="auto"/>
              </w:divBdr>
            </w:div>
            <w:div w:id="1618025139">
              <w:marLeft w:val="0"/>
              <w:marRight w:val="0"/>
              <w:marTop w:val="0"/>
              <w:marBottom w:val="0"/>
              <w:divBdr>
                <w:top w:val="none" w:sz="0" w:space="0" w:color="auto"/>
                <w:left w:val="none" w:sz="0" w:space="0" w:color="auto"/>
                <w:bottom w:val="none" w:sz="0" w:space="0" w:color="auto"/>
                <w:right w:val="none" w:sz="0" w:space="0" w:color="auto"/>
              </w:divBdr>
            </w:div>
            <w:div w:id="1452821914">
              <w:marLeft w:val="0"/>
              <w:marRight w:val="0"/>
              <w:marTop w:val="0"/>
              <w:marBottom w:val="0"/>
              <w:divBdr>
                <w:top w:val="none" w:sz="0" w:space="0" w:color="auto"/>
                <w:left w:val="none" w:sz="0" w:space="0" w:color="auto"/>
                <w:bottom w:val="none" w:sz="0" w:space="0" w:color="auto"/>
                <w:right w:val="none" w:sz="0" w:space="0" w:color="auto"/>
              </w:divBdr>
            </w:div>
            <w:div w:id="777144078">
              <w:marLeft w:val="1260"/>
              <w:marRight w:val="0"/>
              <w:marTop w:val="100"/>
              <w:marBottom w:val="100"/>
              <w:divBdr>
                <w:top w:val="none" w:sz="0" w:space="0" w:color="auto"/>
                <w:left w:val="none" w:sz="0" w:space="0" w:color="auto"/>
                <w:bottom w:val="none" w:sz="0" w:space="0" w:color="auto"/>
                <w:right w:val="none" w:sz="0" w:space="0" w:color="auto"/>
              </w:divBdr>
            </w:div>
            <w:div w:id="2044280201">
              <w:marLeft w:val="0"/>
              <w:marRight w:val="0"/>
              <w:marTop w:val="0"/>
              <w:marBottom w:val="0"/>
              <w:divBdr>
                <w:top w:val="none" w:sz="0" w:space="0" w:color="auto"/>
                <w:left w:val="none" w:sz="0" w:space="0" w:color="auto"/>
                <w:bottom w:val="none" w:sz="0" w:space="0" w:color="auto"/>
                <w:right w:val="none" w:sz="0" w:space="0" w:color="auto"/>
              </w:divBdr>
            </w:div>
            <w:div w:id="1372730988">
              <w:marLeft w:val="0"/>
              <w:marRight w:val="0"/>
              <w:marTop w:val="0"/>
              <w:marBottom w:val="0"/>
              <w:divBdr>
                <w:top w:val="none" w:sz="0" w:space="0" w:color="auto"/>
                <w:left w:val="none" w:sz="0" w:space="0" w:color="auto"/>
                <w:bottom w:val="none" w:sz="0" w:space="0" w:color="auto"/>
                <w:right w:val="none" w:sz="0" w:space="0" w:color="auto"/>
              </w:divBdr>
            </w:div>
            <w:div w:id="1782265709">
              <w:marLeft w:val="0"/>
              <w:marRight w:val="0"/>
              <w:marTop w:val="0"/>
              <w:marBottom w:val="0"/>
              <w:divBdr>
                <w:top w:val="none" w:sz="0" w:space="0" w:color="auto"/>
                <w:left w:val="none" w:sz="0" w:space="0" w:color="auto"/>
                <w:bottom w:val="none" w:sz="0" w:space="0" w:color="auto"/>
                <w:right w:val="none" w:sz="0" w:space="0" w:color="auto"/>
              </w:divBdr>
            </w:div>
            <w:div w:id="1680809538">
              <w:marLeft w:val="0"/>
              <w:marRight w:val="0"/>
              <w:marTop w:val="0"/>
              <w:marBottom w:val="0"/>
              <w:divBdr>
                <w:top w:val="none" w:sz="0" w:space="0" w:color="auto"/>
                <w:left w:val="none" w:sz="0" w:space="0" w:color="auto"/>
                <w:bottom w:val="none" w:sz="0" w:space="0" w:color="auto"/>
                <w:right w:val="none" w:sz="0" w:space="0" w:color="auto"/>
              </w:divBdr>
            </w:div>
            <w:div w:id="1607543325">
              <w:marLeft w:val="0"/>
              <w:marRight w:val="0"/>
              <w:marTop w:val="0"/>
              <w:marBottom w:val="0"/>
              <w:divBdr>
                <w:top w:val="none" w:sz="0" w:space="0" w:color="auto"/>
                <w:left w:val="none" w:sz="0" w:space="0" w:color="auto"/>
                <w:bottom w:val="none" w:sz="0" w:space="0" w:color="auto"/>
                <w:right w:val="none" w:sz="0" w:space="0" w:color="auto"/>
              </w:divBdr>
            </w:div>
            <w:div w:id="722024625">
              <w:marLeft w:val="0"/>
              <w:marRight w:val="0"/>
              <w:marTop w:val="0"/>
              <w:marBottom w:val="0"/>
              <w:divBdr>
                <w:top w:val="none" w:sz="0" w:space="0" w:color="auto"/>
                <w:left w:val="none" w:sz="0" w:space="0" w:color="auto"/>
                <w:bottom w:val="none" w:sz="0" w:space="0" w:color="auto"/>
                <w:right w:val="none" w:sz="0" w:space="0" w:color="auto"/>
              </w:divBdr>
            </w:div>
            <w:div w:id="1936084468">
              <w:marLeft w:val="0"/>
              <w:marRight w:val="0"/>
              <w:marTop w:val="0"/>
              <w:marBottom w:val="0"/>
              <w:divBdr>
                <w:top w:val="none" w:sz="0" w:space="0" w:color="auto"/>
                <w:left w:val="none" w:sz="0" w:space="0" w:color="auto"/>
                <w:bottom w:val="none" w:sz="0" w:space="0" w:color="auto"/>
                <w:right w:val="none" w:sz="0" w:space="0" w:color="auto"/>
              </w:divBdr>
            </w:div>
            <w:div w:id="751898632">
              <w:marLeft w:val="0"/>
              <w:marRight w:val="0"/>
              <w:marTop w:val="0"/>
              <w:marBottom w:val="0"/>
              <w:divBdr>
                <w:top w:val="none" w:sz="0" w:space="0" w:color="auto"/>
                <w:left w:val="none" w:sz="0" w:space="0" w:color="auto"/>
                <w:bottom w:val="none" w:sz="0" w:space="0" w:color="auto"/>
                <w:right w:val="none" w:sz="0" w:space="0" w:color="auto"/>
              </w:divBdr>
            </w:div>
            <w:div w:id="42797131">
              <w:marLeft w:val="0"/>
              <w:marRight w:val="0"/>
              <w:marTop w:val="0"/>
              <w:marBottom w:val="0"/>
              <w:divBdr>
                <w:top w:val="none" w:sz="0" w:space="0" w:color="auto"/>
                <w:left w:val="none" w:sz="0" w:space="0" w:color="auto"/>
                <w:bottom w:val="none" w:sz="0" w:space="0" w:color="auto"/>
                <w:right w:val="none" w:sz="0" w:space="0" w:color="auto"/>
              </w:divBdr>
            </w:div>
            <w:div w:id="843980703">
              <w:marLeft w:val="0"/>
              <w:marRight w:val="0"/>
              <w:marTop w:val="0"/>
              <w:marBottom w:val="0"/>
              <w:divBdr>
                <w:top w:val="none" w:sz="0" w:space="0" w:color="auto"/>
                <w:left w:val="none" w:sz="0" w:space="0" w:color="auto"/>
                <w:bottom w:val="none" w:sz="0" w:space="0" w:color="auto"/>
                <w:right w:val="none" w:sz="0" w:space="0" w:color="auto"/>
              </w:divBdr>
            </w:div>
            <w:div w:id="396703850">
              <w:marLeft w:val="0"/>
              <w:marRight w:val="0"/>
              <w:marTop w:val="0"/>
              <w:marBottom w:val="0"/>
              <w:divBdr>
                <w:top w:val="none" w:sz="0" w:space="0" w:color="auto"/>
                <w:left w:val="none" w:sz="0" w:space="0" w:color="auto"/>
                <w:bottom w:val="none" w:sz="0" w:space="0" w:color="auto"/>
                <w:right w:val="none" w:sz="0" w:space="0" w:color="auto"/>
              </w:divBdr>
            </w:div>
            <w:div w:id="1106585126">
              <w:marLeft w:val="0"/>
              <w:marRight w:val="0"/>
              <w:marTop w:val="0"/>
              <w:marBottom w:val="0"/>
              <w:divBdr>
                <w:top w:val="none" w:sz="0" w:space="0" w:color="auto"/>
                <w:left w:val="none" w:sz="0" w:space="0" w:color="auto"/>
                <w:bottom w:val="none" w:sz="0" w:space="0" w:color="auto"/>
                <w:right w:val="none" w:sz="0" w:space="0" w:color="auto"/>
              </w:divBdr>
            </w:div>
            <w:div w:id="605845894">
              <w:marLeft w:val="0"/>
              <w:marRight w:val="0"/>
              <w:marTop w:val="100"/>
              <w:marBottom w:val="100"/>
              <w:divBdr>
                <w:top w:val="none" w:sz="0" w:space="0" w:color="auto"/>
                <w:left w:val="none" w:sz="0" w:space="0" w:color="auto"/>
                <w:bottom w:val="none" w:sz="0" w:space="0" w:color="auto"/>
                <w:right w:val="none" w:sz="0" w:space="0" w:color="auto"/>
              </w:divBdr>
            </w:div>
            <w:div w:id="1025905041">
              <w:marLeft w:val="0"/>
              <w:marRight w:val="0"/>
              <w:marTop w:val="0"/>
              <w:marBottom w:val="0"/>
              <w:divBdr>
                <w:top w:val="none" w:sz="0" w:space="0" w:color="auto"/>
                <w:left w:val="none" w:sz="0" w:space="0" w:color="auto"/>
                <w:bottom w:val="none" w:sz="0" w:space="0" w:color="auto"/>
                <w:right w:val="none" w:sz="0" w:space="0" w:color="auto"/>
              </w:divBdr>
            </w:div>
            <w:div w:id="2141460051">
              <w:marLeft w:val="0"/>
              <w:marRight w:val="0"/>
              <w:marTop w:val="0"/>
              <w:marBottom w:val="0"/>
              <w:divBdr>
                <w:top w:val="none" w:sz="0" w:space="0" w:color="auto"/>
                <w:left w:val="none" w:sz="0" w:space="0" w:color="auto"/>
                <w:bottom w:val="none" w:sz="0" w:space="0" w:color="auto"/>
                <w:right w:val="none" w:sz="0" w:space="0" w:color="auto"/>
              </w:divBdr>
            </w:div>
            <w:div w:id="111631891">
              <w:marLeft w:val="0"/>
              <w:marRight w:val="0"/>
              <w:marTop w:val="0"/>
              <w:marBottom w:val="0"/>
              <w:divBdr>
                <w:top w:val="none" w:sz="0" w:space="0" w:color="auto"/>
                <w:left w:val="none" w:sz="0" w:space="0" w:color="auto"/>
                <w:bottom w:val="none" w:sz="0" w:space="0" w:color="auto"/>
                <w:right w:val="none" w:sz="0" w:space="0" w:color="auto"/>
              </w:divBdr>
            </w:div>
            <w:div w:id="784154943">
              <w:marLeft w:val="0"/>
              <w:marRight w:val="0"/>
              <w:marTop w:val="0"/>
              <w:marBottom w:val="0"/>
              <w:divBdr>
                <w:top w:val="none" w:sz="0" w:space="0" w:color="auto"/>
                <w:left w:val="none" w:sz="0" w:space="0" w:color="auto"/>
                <w:bottom w:val="none" w:sz="0" w:space="0" w:color="auto"/>
                <w:right w:val="none" w:sz="0" w:space="0" w:color="auto"/>
              </w:divBdr>
            </w:div>
            <w:div w:id="373358595">
              <w:marLeft w:val="0"/>
              <w:marRight w:val="0"/>
              <w:marTop w:val="0"/>
              <w:marBottom w:val="0"/>
              <w:divBdr>
                <w:top w:val="none" w:sz="0" w:space="0" w:color="auto"/>
                <w:left w:val="none" w:sz="0" w:space="0" w:color="auto"/>
                <w:bottom w:val="none" w:sz="0" w:space="0" w:color="auto"/>
                <w:right w:val="none" w:sz="0" w:space="0" w:color="auto"/>
              </w:divBdr>
            </w:div>
            <w:div w:id="1862275990">
              <w:marLeft w:val="0"/>
              <w:marRight w:val="0"/>
              <w:marTop w:val="0"/>
              <w:marBottom w:val="0"/>
              <w:divBdr>
                <w:top w:val="none" w:sz="0" w:space="0" w:color="auto"/>
                <w:left w:val="none" w:sz="0" w:space="0" w:color="auto"/>
                <w:bottom w:val="none" w:sz="0" w:space="0" w:color="auto"/>
                <w:right w:val="none" w:sz="0" w:space="0" w:color="auto"/>
              </w:divBdr>
            </w:div>
            <w:div w:id="1644653968">
              <w:marLeft w:val="0"/>
              <w:marRight w:val="0"/>
              <w:marTop w:val="0"/>
              <w:marBottom w:val="0"/>
              <w:divBdr>
                <w:top w:val="none" w:sz="0" w:space="0" w:color="auto"/>
                <w:left w:val="none" w:sz="0" w:space="0" w:color="auto"/>
                <w:bottom w:val="none" w:sz="0" w:space="0" w:color="auto"/>
                <w:right w:val="none" w:sz="0" w:space="0" w:color="auto"/>
              </w:divBdr>
            </w:div>
            <w:div w:id="1175994354">
              <w:marLeft w:val="0"/>
              <w:marRight w:val="0"/>
              <w:marTop w:val="0"/>
              <w:marBottom w:val="0"/>
              <w:divBdr>
                <w:top w:val="none" w:sz="0" w:space="0" w:color="auto"/>
                <w:left w:val="none" w:sz="0" w:space="0" w:color="auto"/>
                <w:bottom w:val="none" w:sz="0" w:space="0" w:color="auto"/>
                <w:right w:val="none" w:sz="0" w:space="0" w:color="auto"/>
              </w:divBdr>
            </w:div>
            <w:div w:id="1144540712">
              <w:marLeft w:val="0"/>
              <w:marRight w:val="0"/>
              <w:marTop w:val="0"/>
              <w:marBottom w:val="0"/>
              <w:divBdr>
                <w:top w:val="none" w:sz="0" w:space="0" w:color="auto"/>
                <w:left w:val="none" w:sz="0" w:space="0" w:color="auto"/>
                <w:bottom w:val="none" w:sz="0" w:space="0" w:color="auto"/>
                <w:right w:val="none" w:sz="0" w:space="0" w:color="auto"/>
              </w:divBdr>
            </w:div>
            <w:div w:id="1636763444">
              <w:marLeft w:val="0"/>
              <w:marRight w:val="0"/>
              <w:marTop w:val="0"/>
              <w:marBottom w:val="0"/>
              <w:divBdr>
                <w:top w:val="none" w:sz="0" w:space="0" w:color="auto"/>
                <w:left w:val="none" w:sz="0" w:space="0" w:color="auto"/>
                <w:bottom w:val="none" w:sz="0" w:space="0" w:color="auto"/>
                <w:right w:val="none" w:sz="0" w:space="0" w:color="auto"/>
              </w:divBdr>
            </w:div>
            <w:div w:id="1815950632">
              <w:marLeft w:val="0"/>
              <w:marRight w:val="0"/>
              <w:marTop w:val="0"/>
              <w:marBottom w:val="0"/>
              <w:divBdr>
                <w:top w:val="none" w:sz="0" w:space="0" w:color="auto"/>
                <w:left w:val="none" w:sz="0" w:space="0" w:color="auto"/>
                <w:bottom w:val="none" w:sz="0" w:space="0" w:color="auto"/>
                <w:right w:val="none" w:sz="0" w:space="0" w:color="auto"/>
              </w:divBdr>
            </w:div>
            <w:div w:id="1345403180">
              <w:marLeft w:val="0"/>
              <w:marRight w:val="0"/>
              <w:marTop w:val="0"/>
              <w:marBottom w:val="0"/>
              <w:divBdr>
                <w:top w:val="none" w:sz="0" w:space="0" w:color="auto"/>
                <w:left w:val="none" w:sz="0" w:space="0" w:color="auto"/>
                <w:bottom w:val="none" w:sz="0" w:space="0" w:color="auto"/>
                <w:right w:val="none" w:sz="0" w:space="0" w:color="auto"/>
              </w:divBdr>
            </w:div>
            <w:div w:id="1466392766">
              <w:marLeft w:val="0"/>
              <w:marRight w:val="0"/>
              <w:marTop w:val="100"/>
              <w:marBottom w:val="100"/>
              <w:divBdr>
                <w:top w:val="none" w:sz="0" w:space="0" w:color="auto"/>
                <w:left w:val="none" w:sz="0" w:space="0" w:color="auto"/>
                <w:bottom w:val="none" w:sz="0" w:space="0" w:color="auto"/>
                <w:right w:val="none" w:sz="0" w:space="0" w:color="auto"/>
              </w:divBdr>
            </w:div>
            <w:div w:id="2098017131">
              <w:marLeft w:val="0"/>
              <w:marRight w:val="0"/>
              <w:marTop w:val="0"/>
              <w:marBottom w:val="0"/>
              <w:divBdr>
                <w:top w:val="none" w:sz="0" w:space="0" w:color="auto"/>
                <w:left w:val="none" w:sz="0" w:space="0" w:color="auto"/>
                <w:bottom w:val="none" w:sz="0" w:space="0" w:color="auto"/>
                <w:right w:val="none" w:sz="0" w:space="0" w:color="auto"/>
              </w:divBdr>
            </w:div>
            <w:div w:id="911282713">
              <w:marLeft w:val="0"/>
              <w:marRight w:val="0"/>
              <w:marTop w:val="0"/>
              <w:marBottom w:val="0"/>
              <w:divBdr>
                <w:top w:val="none" w:sz="0" w:space="0" w:color="auto"/>
                <w:left w:val="none" w:sz="0" w:space="0" w:color="auto"/>
                <w:bottom w:val="none" w:sz="0" w:space="0" w:color="auto"/>
                <w:right w:val="none" w:sz="0" w:space="0" w:color="auto"/>
              </w:divBdr>
            </w:div>
            <w:div w:id="1661958583">
              <w:marLeft w:val="0"/>
              <w:marRight w:val="0"/>
              <w:marTop w:val="0"/>
              <w:marBottom w:val="0"/>
              <w:divBdr>
                <w:top w:val="none" w:sz="0" w:space="0" w:color="auto"/>
                <w:left w:val="none" w:sz="0" w:space="0" w:color="auto"/>
                <w:bottom w:val="none" w:sz="0" w:space="0" w:color="auto"/>
                <w:right w:val="none" w:sz="0" w:space="0" w:color="auto"/>
              </w:divBdr>
            </w:div>
            <w:div w:id="393705358">
              <w:marLeft w:val="0"/>
              <w:marRight w:val="0"/>
              <w:marTop w:val="100"/>
              <w:marBottom w:val="100"/>
              <w:divBdr>
                <w:top w:val="none" w:sz="0" w:space="0" w:color="auto"/>
                <w:left w:val="none" w:sz="0" w:space="0" w:color="auto"/>
                <w:bottom w:val="none" w:sz="0" w:space="0" w:color="auto"/>
                <w:right w:val="none" w:sz="0" w:space="0" w:color="auto"/>
              </w:divBdr>
            </w:div>
            <w:div w:id="1065762592">
              <w:marLeft w:val="0"/>
              <w:marRight w:val="0"/>
              <w:marTop w:val="0"/>
              <w:marBottom w:val="0"/>
              <w:divBdr>
                <w:top w:val="none" w:sz="0" w:space="0" w:color="auto"/>
                <w:left w:val="none" w:sz="0" w:space="0" w:color="auto"/>
                <w:bottom w:val="none" w:sz="0" w:space="0" w:color="auto"/>
                <w:right w:val="none" w:sz="0" w:space="0" w:color="auto"/>
              </w:divBdr>
            </w:div>
            <w:div w:id="1063410009">
              <w:marLeft w:val="0"/>
              <w:marRight w:val="0"/>
              <w:marTop w:val="0"/>
              <w:marBottom w:val="0"/>
              <w:divBdr>
                <w:top w:val="none" w:sz="0" w:space="0" w:color="auto"/>
                <w:left w:val="none" w:sz="0" w:space="0" w:color="auto"/>
                <w:bottom w:val="none" w:sz="0" w:space="0" w:color="auto"/>
                <w:right w:val="none" w:sz="0" w:space="0" w:color="auto"/>
              </w:divBdr>
            </w:div>
            <w:div w:id="1354303314">
              <w:marLeft w:val="0"/>
              <w:marRight w:val="0"/>
              <w:marTop w:val="0"/>
              <w:marBottom w:val="0"/>
              <w:divBdr>
                <w:top w:val="none" w:sz="0" w:space="0" w:color="auto"/>
                <w:left w:val="none" w:sz="0" w:space="0" w:color="auto"/>
                <w:bottom w:val="none" w:sz="0" w:space="0" w:color="auto"/>
                <w:right w:val="none" w:sz="0" w:space="0" w:color="auto"/>
              </w:divBdr>
            </w:div>
            <w:div w:id="1683776125">
              <w:marLeft w:val="0"/>
              <w:marRight w:val="0"/>
              <w:marTop w:val="100"/>
              <w:marBottom w:val="100"/>
              <w:divBdr>
                <w:top w:val="none" w:sz="0" w:space="0" w:color="auto"/>
                <w:left w:val="none" w:sz="0" w:space="0" w:color="auto"/>
                <w:bottom w:val="none" w:sz="0" w:space="0" w:color="auto"/>
                <w:right w:val="none" w:sz="0" w:space="0" w:color="auto"/>
              </w:divBdr>
            </w:div>
            <w:div w:id="918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2018-08-16T01:51:00Z</dcterms:created>
  <dcterms:modified xsi:type="dcterms:W3CDTF">2018-08-16T01:51:00Z</dcterms:modified>
</cp:coreProperties>
</file>