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2C2" w:rsidRDefault="006B12C2" w:rsidP="006B12C2">
      <w:pPr>
        <w:pStyle w:val="a3"/>
        <w:shd w:val="clear" w:color="auto" w:fill="FFFFFF"/>
        <w:spacing w:before="0" w:beforeAutospacing="0" w:after="0" w:afterAutospacing="0" w:line="435" w:lineRule="atLeast"/>
        <w:jc w:val="center"/>
        <w:rPr>
          <w:rFonts w:ascii="微软雅黑" w:eastAsia="微软雅黑" w:hAnsi="微软雅黑"/>
          <w:color w:val="000000"/>
        </w:rPr>
      </w:pPr>
      <w:bookmarkStart w:id="0" w:name="_GoBack"/>
      <w:r>
        <w:rPr>
          <w:rStyle w:val="a4"/>
          <w:rFonts w:hint="eastAsia"/>
          <w:color w:val="000000"/>
          <w:sz w:val="44"/>
          <w:szCs w:val="44"/>
        </w:rPr>
        <w:t>实施创新驱动人才支撑战略促进企业发展若干意见（摘要）</w:t>
      </w:r>
    </w:p>
    <w:bookmarkEnd w:id="0"/>
    <w:p w:rsidR="006B12C2" w:rsidRDefault="006B12C2" w:rsidP="006B12C2">
      <w:pPr>
        <w:pStyle w:val="a3"/>
        <w:shd w:val="clear" w:color="auto" w:fill="FFFFFF"/>
        <w:spacing w:before="0" w:beforeAutospacing="0" w:after="0" w:afterAutospacing="0" w:line="435" w:lineRule="atLeast"/>
        <w:jc w:val="center"/>
        <w:rPr>
          <w:rFonts w:ascii="微软雅黑" w:eastAsia="微软雅黑" w:hAnsi="微软雅黑" w:hint="eastAsia"/>
          <w:color w:val="000000"/>
        </w:rPr>
      </w:pPr>
      <w:proofErr w:type="gramStart"/>
      <w:r>
        <w:rPr>
          <w:rFonts w:ascii="仿宋_GB2312" w:eastAsia="仿宋_GB2312" w:hAnsi="微软雅黑" w:hint="eastAsia"/>
          <w:color w:val="000000"/>
          <w:sz w:val="32"/>
          <w:szCs w:val="32"/>
        </w:rPr>
        <w:t>樟</w:t>
      </w:r>
      <w:proofErr w:type="gramEnd"/>
      <w:r>
        <w:rPr>
          <w:rFonts w:ascii="仿宋_GB2312" w:eastAsia="仿宋_GB2312" w:hAnsi="微软雅黑" w:hint="eastAsia"/>
          <w:color w:val="000000"/>
          <w:sz w:val="32"/>
          <w:szCs w:val="32"/>
        </w:rPr>
        <w:t>办发〔2016〕30号</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黑体" w:eastAsia="黑体" w:hAnsi="黑体" w:hint="eastAsia"/>
          <w:color w:val="000000"/>
          <w:sz w:val="32"/>
          <w:szCs w:val="32"/>
        </w:rPr>
        <w:t>一、大力实施人才支撑战略</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1.支持企业大力引进域内外高端创新人才。</w:t>
      </w:r>
      <w:r>
        <w:rPr>
          <w:rFonts w:ascii="仿宋_GB2312" w:eastAsia="仿宋_GB2312" w:hAnsi="微软雅黑" w:hint="eastAsia"/>
          <w:color w:val="000000"/>
          <w:sz w:val="32"/>
          <w:szCs w:val="32"/>
        </w:rPr>
        <w:t>鼓励用人单位以岗位聘用、项目聘用、任务聘用、项目合作等方式重点引进以下六类人才。</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（1）国家级有突出贡献的中青年专家、重点学科首席科学家、国家杰出青年基金获得者、国务院特殊津贴获得者、国家“千人计划”专家等国家级重点人才；</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（2）省特级专家、省政府特殊津贴人员和省级“新世纪百千万人才工程”等省级重点人才；</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（3）省部级有突出贡献的中青年专家等重点人才或海外留学归国并获得硕士以上学位的人员；</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（4）具有正高职称的人才或全日制博士研究生；</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（5）具有副高职称且年龄在40周岁以下人员，特别紧缺急需的，可适当放宽年龄；</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（6）金融、电商等新型产业急需的技能型、技术型和管理型人才（“985”院校本科毕业生）或全日制硕士研究生。</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2.积极吸引（留住）高层次创业创新人才。</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（1）实行安家补贴。对引进人才与用人单位签订五年及以上聘用合同的，可一次性给予安家补贴。具体标准如下：</w:t>
      </w:r>
      <w:r>
        <w:rPr>
          <w:rFonts w:ascii="仿宋_GB2312" w:eastAsia="仿宋_GB2312" w:hAnsi="微软雅黑" w:hint="eastAsia"/>
          <w:color w:val="000000"/>
          <w:sz w:val="32"/>
          <w:szCs w:val="32"/>
        </w:rPr>
        <w:lastRenderedPageBreak/>
        <w:t>第（1）类人才30万元，第（2）类人才20万元，第（3）类人才15万元，第（4）类人才10万元，第（5）类人才5万元，第（6）类人才3万元。夫妻双方经认定同为引进的人才，按一人全额、一人减半标准享受相应的安家补贴。</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（2）实施人才公寓或保障性住房政策。各</w:t>
      </w:r>
      <w:proofErr w:type="gramStart"/>
      <w:r>
        <w:rPr>
          <w:rFonts w:ascii="仿宋_GB2312" w:eastAsia="仿宋_GB2312" w:hAnsi="微软雅黑" w:hint="eastAsia"/>
          <w:color w:val="000000"/>
          <w:sz w:val="32"/>
          <w:szCs w:val="32"/>
        </w:rPr>
        <w:t>类引进</w:t>
      </w:r>
      <w:proofErr w:type="gramEnd"/>
      <w:r>
        <w:rPr>
          <w:rFonts w:ascii="仿宋_GB2312" w:eastAsia="仿宋_GB2312" w:hAnsi="微软雅黑" w:hint="eastAsia"/>
          <w:color w:val="000000"/>
          <w:sz w:val="32"/>
          <w:szCs w:val="32"/>
        </w:rPr>
        <w:t>人才可享受三年免费30平方米人才公寓租住，与用人单位签订五年及以上聘用合同的引进人才可申请</w:t>
      </w:r>
      <w:proofErr w:type="gramStart"/>
      <w:r>
        <w:rPr>
          <w:rFonts w:ascii="仿宋_GB2312" w:eastAsia="仿宋_GB2312" w:hAnsi="微软雅黑" w:hint="eastAsia"/>
          <w:color w:val="000000"/>
          <w:sz w:val="32"/>
          <w:szCs w:val="32"/>
        </w:rPr>
        <w:t>购买公租住房</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3）实行政府津贴。对与用人单位签订五年及以上聘用合同的引进人才，可享受政府津贴。具体标准每人每月为：第（1）类人才3000元，第（2）类人才2500元，第（3）类人才2000元，第（4）类人才1500元，第（5）类人才1000元，第（6）类人才500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（4）妥善安排家属就业。对第</w:t>
      </w:r>
      <w:r>
        <w:rPr>
          <w:rFonts w:ascii="仿宋_GB2312" w:eastAsia="仿宋_GB2312" w:hAnsi="微软雅黑" w:hint="eastAsia"/>
          <w:color w:val="000000"/>
          <w:spacing w:val="-15"/>
          <w:sz w:val="32"/>
          <w:szCs w:val="32"/>
        </w:rPr>
        <w:t>（1）至（4）</w:t>
      </w:r>
      <w:proofErr w:type="gramStart"/>
      <w:r>
        <w:rPr>
          <w:rFonts w:ascii="仿宋_GB2312" w:eastAsia="仿宋_GB2312" w:hAnsi="微软雅黑" w:hint="eastAsia"/>
          <w:color w:val="000000"/>
          <w:sz w:val="32"/>
          <w:szCs w:val="32"/>
        </w:rPr>
        <w:t>类引进</w:t>
      </w:r>
      <w:proofErr w:type="gramEnd"/>
      <w:r>
        <w:rPr>
          <w:rFonts w:ascii="仿宋_GB2312" w:eastAsia="仿宋_GB2312" w:hAnsi="微软雅黑" w:hint="eastAsia"/>
          <w:color w:val="000000"/>
          <w:sz w:val="32"/>
          <w:szCs w:val="32"/>
        </w:rPr>
        <w:t>人才的随调配偶，有正式编制的列入政策性安置。其他人才的随调配偶，由用人单位或主管部门推荐就业，各有关部门要积极主动配合。配偶暂无工作的，其人事档案关系可挂靠市人才交流中心。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3.鼓励实施校企联姻。</w:t>
      </w:r>
      <w:r>
        <w:rPr>
          <w:rFonts w:ascii="仿宋_GB2312" w:eastAsia="仿宋_GB2312" w:hAnsi="微软雅黑" w:hint="eastAsia"/>
          <w:color w:val="000000"/>
          <w:sz w:val="32"/>
          <w:szCs w:val="32"/>
        </w:rPr>
        <w:t>鼓励职业技术学校为我市医药、金属家具类企业定点培养专业技术人才。凡是与我市签订人才引进战略协作合同的职业技术学校，为我市医药、金属家具类企业每培养一名专业技术人才并与企业</w:t>
      </w:r>
      <w:proofErr w:type="gramStart"/>
      <w:r>
        <w:rPr>
          <w:rFonts w:ascii="仿宋_GB2312" w:eastAsia="仿宋_GB2312" w:hAnsi="微软雅黑" w:hint="eastAsia"/>
          <w:color w:val="000000"/>
          <w:sz w:val="32"/>
          <w:szCs w:val="32"/>
        </w:rPr>
        <w:t>签定</w:t>
      </w:r>
      <w:proofErr w:type="gramEnd"/>
      <w:r>
        <w:rPr>
          <w:rFonts w:ascii="仿宋_GB2312" w:eastAsia="仿宋_GB2312" w:hAnsi="微软雅黑" w:hint="eastAsia"/>
          <w:color w:val="000000"/>
          <w:sz w:val="32"/>
          <w:szCs w:val="32"/>
        </w:rPr>
        <w:t>三年以上正式劳务合同的，给予合作院校500元/人的补助奖励。</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黑体" w:eastAsia="黑体" w:hAnsi="黑体" w:hint="eastAsia"/>
          <w:color w:val="000000"/>
          <w:sz w:val="32"/>
          <w:szCs w:val="32"/>
        </w:rPr>
        <w:lastRenderedPageBreak/>
        <w:t>二、大力实施创新驱动战略</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4.认真落实国家、省相关科技政策。</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（1）落实高新技术企业税收优惠政策，严格按规定落实高新技术企业减按15%税率征收企业所得税。支持符合条件的企业申报高新技术企业。</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落实企业研发费加计扣除政策，对企业开展研发活动中符合规定条件的研发费用，未形成无形资产计入当期损益的，在按规定据实扣除的基础上，按照本年度实际发生额的50%，从本年度应纳税所得额中扣除；形成无形资产的，按照无形资产成本的150%在税前摊销。企业符合研发加计扣除条件的工业设计费用，按照税法规定享受企业所得税前加计扣除政策。对符合条件的纳税人提供技术转让、技术开发和与之相关的技术咨询、技术服务免征增值税。</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5.加强创新平台建设。</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（1）鼓励设立院士工作站、博士后工作站。对企业设立院士工作站、博士后工作站的，给予企业扶助经费50万元/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，给予相关服务单位奖励5万元/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（2）对新评为国家级技术中心、检测中心、工程技术研究中心或公共技术服务平台的，由市财政给予相关单位或企业奖励60万元，给予相关服务单位奖励5万元/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（3）对新评为江西省级技术中心、检测中心、工程技术研究中心、公共技术服务平台、优秀科技创新团队或高新技</w:t>
      </w:r>
      <w:r>
        <w:rPr>
          <w:rFonts w:ascii="仿宋_GB2312" w:eastAsia="仿宋_GB2312" w:hAnsi="微软雅黑" w:hint="eastAsia"/>
          <w:color w:val="000000"/>
          <w:sz w:val="32"/>
          <w:szCs w:val="32"/>
        </w:rPr>
        <w:lastRenderedPageBreak/>
        <w:t>术企业基地的，由市财政给予相关单位或企业奖励50万元，给予相关服务单位奖励5万元/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（4）围绕我市主导产业、高成长性产业及高新技术产业发展，参与高校和科研院所等单位新组建的</w:t>
      </w:r>
      <w:proofErr w:type="gramStart"/>
      <w:r>
        <w:rPr>
          <w:rFonts w:ascii="仿宋_GB2312" w:eastAsia="仿宋_GB2312" w:hAnsi="微软雅黑" w:hint="eastAsia"/>
          <w:color w:val="000000"/>
          <w:sz w:val="32"/>
          <w:szCs w:val="32"/>
        </w:rPr>
        <w:t>省级产业</w:t>
      </w:r>
      <w:proofErr w:type="gramEnd"/>
      <w:r>
        <w:rPr>
          <w:rFonts w:ascii="仿宋_GB2312" w:eastAsia="仿宋_GB2312" w:hAnsi="微软雅黑" w:hint="eastAsia"/>
          <w:color w:val="000000"/>
          <w:sz w:val="32"/>
          <w:szCs w:val="32"/>
        </w:rPr>
        <w:t>技术创新战略联盟的企业，经省科技厅认定后，给予一次性20万元补助奖励。</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6.加快科技型企业培育。</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（1）培育创新型（试点）企业。新认定的国家、省级创新型（试点）企业分别给予10万元、5万元一次性奖励；分别给予相关服务单位奖励1万元/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、5000元/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（2）培育高新技术企业。新认定的国家高新技术企业给予10万元一次性奖励，给予相关服务部门奖励1万元/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（3）培育科技型中小微企业。新认定的省级科技型中小微企业，给予一次性2万元奖励，给予相关服务部门奖励2000元/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7.支持企业开展创新活动。</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（1）支持企业研究开发新产品。对新认定的省级重点新产品一次性奖励2万元，同一企业奖励额年度累计不超过10万元。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（2）鼓励企业加大研发投入。对规模以上工业企业年度研发经费支出占销售收入大于3%，</w:t>
      </w:r>
      <w:proofErr w:type="gramStart"/>
      <w:r>
        <w:rPr>
          <w:rFonts w:ascii="仿宋_GB2312" w:eastAsia="仿宋_GB2312" w:hAnsi="微软雅黑" w:hint="eastAsia"/>
          <w:color w:val="000000"/>
          <w:sz w:val="32"/>
          <w:szCs w:val="32"/>
        </w:rPr>
        <w:t>且认真</w:t>
      </w:r>
      <w:proofErr w:type="gramEnd"/>
      <w:r>
        <w:rPr>
          <w:rFonts w:ascii="仿宋_GB2312" w:eastAsia="仿宋_GB2312" w:hAnsi="微软雅黑" w:hint="eastAsia"/>
          <w:color w:val="000000"/>
          <w:sz w:val="32"/>
          <w:szCs w:val="32"/>
        </w:rPr>
        <w:t>填报研发经费统计</w:t>
      </w:r>
      <w:r>
        <w:rPr>
          <w:rFonts w:ascii="仿宋_GB2312" w:eastAsia="仿宋_GB2312" w:hAnsi="微软雅黑" w:hint="eastAsia"/>
          <w:color w:val="000000"/>
          <w:sz w:val="32"/>
          <w:szCs w:val="32"/>
        </w:rPr>
        <w:lastRenderedPageBreak/>
        <w:t>报表的，按实际研发投入金额大小给予5000—50000元的奖励。</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8.完善科技创新服务体系。</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（1）支持</w:t>
      </w:r>
      <w:proofErr w:type="gramStart"/>
      <w:r>
        <w:rPr>
          <w:rFonts w:ascii="仿宋_GB2312" w:eastAsia="仿宋_GB2312" w:hAnsi="微软雅黑" w:hint="eastAsia"/>
          <w:color w:val="000000"/>
          <w:sz w:val="32"/>
          <w:szCs w:val="32"/>
        </w:rPr>
        <w:t>众创空间</w:t>
      </w:r>
      <w:proofErr w:type="gramEnd"/>
      <w:r>
        <w:rPr>
          <w:rFonts w:ascii="仿宋_GB2312" w:eastAsia="仿宋_GB2312" w:hAnsi="微软雅黑" w:hint="eastAsia"/>
          <w:color w:val="000000"/>
          <w:sz w:val="32"/>
          <w:szCs w:val="32"/>
        </w:rPr>
        <w:t>和科技孵化器建设。对新认定的国家级、省级</w:t>
      </w:r>
      <w:proofErr w:type="gramStart"/>
      <w:r>
        <w:rPr>
          <w:rFonts w:ascii="仿宋_GB2312" w:eastAsia="仿宋_GB2312" w:hAnsi="微软雅黑" w:hint="eastAsia"/>
          <w:color w:val="000000"/>
          <w:sz w:val="32"/>
          <w:szCs w:val="32"/>
        </w:rPr>
        <w:t>众创空间</w:t>
      </w:r>
      <w:proofErr w:type="gramEnd"/>
      <w:r>
        <w:rPr>
          <w:rFonts w:ascii="仿宋_GB2312" w:eastAsia="仿宋_GB2312" w:hAnsi="微软雅黑" w:hint="eastAsia"/>
          <w:color w:val="000000"/>
          <w:sz w:val="32"/>
          <w:szCs w:val="32"/>
        </w:rPr>
        <w:t>和科技企业孵化器，分别一次性奖励20万元、5万元。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（2）引进、培育科技服务机构。对在</w:t>
      </w:r>
      <w:proofErr w:type="gramStart"/>
      <w:r>
        <w:rPr>
          <w:rFonts w:ascii="仿宋_GB2312" w:eastAsia="仿宋_GB2312" w:hAnsi="微软雅黑" w:hint="eastAsia"/>
          <w:color w:val="000000"/>
          <w:sz w:val="32"/>
          <w:szCs w:val="32"/>
        </w:rPr>
        <w:t>樟</w:t>
      </w:r>
      <w:proofErr w:type="gramEnd"/>
      <w:r>
        <w:rPr>
          <w:rFonts w:ascii="仿宋_GB2312" w:eastAsia="仿宋_GB2312" w:hAnsi="微软雅黑" w:hint="eastAsia"/>
          <w:color w:val="000000"/>
          <w:sz w:val="32"/>
          <w:szCs w:val="32"/>
        </w:rPr>
        <w:t>新注册的科技服务机构，按其年服务收入的5%给予扶持，每家机构每年补助经费不超过10万元。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9.加速科技成果产业化。</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（1）在本市的高等院校、科研机构和企业，当年登记的技术合同交易总额在100万元—1000万元（含1000万元）之间的，给予2万元奖励；1000万元—5000万元之间的，给予5万元奖励；5000万以上的，给予10万元奖励。</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（2）对新认定的省级技术转移示范机构，给予一次性10万元奖励。</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3）鼓励申报省、宜春市级科学技术奖，对获得省科学技术特等奖、一等奖、二等奖、三等奖的项目，分别奖励50万元、30万元、20万元、10万元；对获得宜春市科学技术特等奖、一等奖、二等奖、三等奖的项目，分别奖励10万元、5万元、2万元、1万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10.积极实施知识产权战略。</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lastRenderedPageBreak/>
        <w:t>（1）鼓励申请发明专利。对获得中国发明专利授权的，奖励3万元/件，给予相关服务单位奖励5000元/件；对获得实用新型专利授权的，奖励500元/件；对获得国外发明专利授权的，无论是在一个还是在多个国家获得，每件均只发给一个国家发明专利奖励，奖励5万元；对当年获得专利授权20件以上的，另给予2万元奖励。</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提高专利运用水平。对新认定的国家知识产权示范、试点企业分别奖励10万元、5万元；对新认定的省知识产权示范、优势企业分别奖励5万元、3万元。对获得国家专利金奖、优秀奖的，分别奖励50万元、30万元；对获得省专利奖的，奖励10万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（3）对实施产业化的发明专利，该产品年度实现销售达到2000万元（含2000万元）以上的，按销售收入的0.1%，给予一次性奖励。</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11.促进科技与金融结合。</w:t>
      </w:r>
      <w:r>
        <w:rPr>
          <w:rFonts w:ascii="仿宋_GB2312" w:eastAsia="仿宋_GB2312" w:hAnsi="微软雅黑" w:hint="eastAsia"/>
          <w:color w:val="000000"/>
          <w:sz w:val="32"/>
          <w:szCs w:val="32"/>
        </w:rPr>
        <w:t>积极开展知识产权质押贷款，对企业运用专利权质押贷款发生的评估</w:t>
      </w:r>
      <w:proofErr w:type="gramStart"/>
      <w:r>
        <w:rPr>
          <w:rFonts w:ascii="仿宋_GB2312" w:eastAsia="仿宋_GB2312" w:hAnsi="微软雅黑" w:hint="eastAsia"/>
          <w:color w:val="000000"/>
          <w:sz w:val="32"/>
          <w:szCs w:val="32"/>
        </w:rPr>
        <w:t>费给予</w:t>
      </w:r>
      <w:proofErr w:type="gramEnd"/>
      <w:r>
        <w:rPr>
          <w:rFonts w:ascii="仿宋_GB2312" w:eastAsia="仿宋_GB2312" w:hAnsi="微软雅黑" w:hint="eastAsia"/>
          <w:color w:val="000000"/>
          <w:sz w:val="32"/>
          <w:szCs w:val="32"/>
        </w:rPr>
        <w:t>最高3万元的补助。</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黑体" w:eastAsia="黑体" w:hAnsi="黑体" w:hint="eastAsia"/>
          <w:color w:val="000000"/>
          <w:sz w:val="32"/>
          <w:szCs w:val="32"/>
        </w:rPr>
        <w:t>三、大力实施质量兴市战略</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12.积极推动品牌兴</w:t>
      </w:r>
      <w:proofErr w:type="gramStart"/>
      <w:r>
        <w:rPr>
          <w:rStyle w:val="a4"/>
          <w:rFonts w:ascii="楷体_GB2312" w:eastAsia="楷体_GB2312" w:hAnsi="微软雅黑" w:hint="eastAsia"/>
          <w:color w:val="000000"/>
          <w:sz w:val="32"/>
          <w:szCs w:val="32"/>
        </w:rPr>
        <w:t>企</w:t>
      </w:r>
      <w:proofErr w:type="gramEnd"/>
      <w:r>
        <w:rPr>
          <w:rStyle w:val="a4"/>
          <w:rFonts w:ascii="楷体_GB2312" w:eastAsia="楷体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（1）对新评为中国驰名商标、中国名牌产品或中国名牌农产品的，由市财政给予获奖企业奖励30万元，给予相关服务部门奖励5万元／件（</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）；对续评的，给予获奖企业奖</w:t>
      </w:r>
      <w:r>
        <w:rPr>
          <w:rFonts w:ascii="仿宋_GB2312" w:eastAsia="仿宋_GB2312" w:hAnsi="微软雅黑" w:hint="eastAsia"/>
          <w:color w:val="000000"/>
          <w:sz w:val="32"/>
          <w:szCs w:val="32"/>
        </w:rPr>
        <w:lastRenderedPageBreak/>
        <w:t>励5万元／件（</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），给予相关服务部门奖励1万元／件（</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（2）对新评为江西省著名商标、江西省名牌产品或江西省名牌农产品、绿色食品、有机食品的，由市财政给予获奖企业奖励5万元／件（</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），给予相关服务部门奖励1万元／件（</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（3）鼓励支持获得省级以上品牌的樟树企业参与政府采购投标，政府在采购同类产品时，同等条件下优先采购我市企业品牌产品。</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4）对获得国家级（优秀）新产品特等奖、一等奖、二等奖、三等奖的项目，由市财政给予企业分别奖励50万元、30万元、20万元、10万元，给予相关服务部门分别奖励5万元、3万元、2万元、1万元；对获得省级新产品（优秀）特等奖、一等奖、二等奖、三等奖的项目，由市财政给予企业分别奖励30万元、20万元、10万元、5万元，给予相关服务部门分别奖励3万元、2万元、1万元、5000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（5）对新评为实施国家商标战略示范企业或国家工业企业品牌培育试点企业的，由市财政给予企业奖励50万元，给予相关服务单位奖励10万元/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13.积极推动质量兴</w:t>
      </w:r>
      <w:proofErr w:type="gramStart"/>
      <w:r>
        <w:rPr>
          <w:rStyle w:val="a4"/>
          <w:rFonts w:ascii="楷体_GB2312" w:eastAsia="楷体_GB2312" w:hAnsi="微软雅黑" w:hint="eastAsia"/>
          <w:color w:val="000000"/>
          <w:sz w:val="32"/>
          <w:szCs w:val="32"/>
        </w:rPr>
        <w:t>企</w:t>
      </w:r>
      <w:proofErr w:type="gramEnd"/>
      <w:r>
        <w:rPr>
          <w:rStyle w:val="a4"/>
          <w:rFonts w:ascii="楷体_GB2312" w:eastAsia="楷体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（1）对新评为江西省政府质量奖的，由市财政给予相关单位或企业奖励50万元，给予相关服务单位奖励10万元/</w:t>
      </w:r>
      <w:proofErr w:type="gramStart"/>
      <w:r>
        <w:rPr>
          <w:rFonts w:ascii="仿宋_GB2312" w:eastAsia="仿宋_GB2312" w:hAnsi="微软雅黑" w:hint="eastAsia"/>
          <w:color w:val="000000"/>
          <w:sz w:val="32"/>
          <w:szCs w:val="32"/>
        </w:rPr>
        <w:lastRenderedPageBreak/>
        <w:t>个</w:t>
      </w:r>
      <w:proofErr w:type="gramEnd"/>
      <w:r>
        <w:rPr>
          <w:rFonts w:ascii="仿宋_GB2312" w:eastAsia="仿宋_GB2312" w:hAnsi="微软雅黑" w:hint="eastAsia"/>
          <w:color w:val="000000"/>
          <w:sz w:val="32"/>
          <w:szCs w:val="32"/>
        </w:rPr>
        <w:t>；对评为宜春市政府质量奖的，由市财政给予企业奖励10万元，给予相关服务单位奖励3万元/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（2）对评为国家重合同守信用AAAA级企业的，由市财政给予企业奖励20万元，给予相关服务部门奖励3万元/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；对评为省重合同守信用AAA级企业的，由市财政给予企业奖励5万元，给予相关服务部门奖励1万元/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（3）对获得</w:t>
      </w:r>
      <w:proofErr w:type="gramStart"/>
      <w:r>
        <w:rPr>
          <w:rFonts w:ascii="仿宋_GB2312" w:eastAsia="仿宋_GB2312" w:hAnsi="微软雅黑" w:hint="eastAsia"/>
          <w:color w:val="000000"/>
          <w:sz w:val="32"/>
          <w:szCs w:val="32"/>
        </w:rPr>
        <w:t>省级对标管理</w:t>
      </w:r>
      <w:proofErr w:type="gramEnd"/>
      <w:r>
        <w:rPr>
          <w:rFonts w:ascii="仿宋_GB2312" w:eastAsia="仿宋_GB2312" w:hAnsi="微软雅黑" w:hint="eastAsia"/>
          <w:color w:val="000000"/>
          <w:sz w:val="32"/>
          <w:szCs w:val="32"/>
        </w:rPr>
        <w:t>示范企业的单位一次性奖励20万元,对相关服务部门奖励3万元/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4）鼓励培育国家地理标志产品、国家地理商标、国家级标准化示范区、全国质量强市示范城市、国家级知名品牌示范区或国家级产业基地，对获得国家地理标志产品、国家地理商标、国家级标准化示范区、全国质量强市示范城市、国家级知名品牌示范区或国家级产业基地的，给予做出突出贡献的相关部门一次性奖励10万元。</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Style w:val="a4"/>
          <w:rFonts w:ascii="楷体_GB2312" w:eastAsia="楷体_GB2312" w:hAnsi="微软雅黑" w:hint="eastAsia"/>
          <w:color w:val="000000"/>
          <w:sz w:val="32"/>
          <w:szCs w:val="32"/>
        </w:rPr>
        <w:t>14.鼓励企业制定标准。</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t>（1）对主导制定国家标准的单位，给予其奖励50万元／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，给予相关服务单位10万元／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；对参与制定国家标准的单位，给予其奖励10万元／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，给予相关服务单位2万元／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。对主导制定行业标准或省地方标准的单位，给予其奖励6万元／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，给予相关服务单位1万元／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；对参与制定行业标准或省地方标准的单位，给予其奖励2万元／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，给予相关服务单位5000元／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6B12C2" w:rsidRDefault="006B12C2" w:rsidP="006B12C2">
      <w:pPr>
        <w:pStyle w:val="a3"/>
        <w:shd w:val="clear" w:color="auto" w:fill="FFFFFF"/>
        <w:spacing w:before="0" w:beforeAutospacing="0" w:after="0" w:afterAutospacing="0" w:line="435" w:lineRule="atLeast"/>
        <w:ind w:firstLine="645"/>
        <w:jc w:val="both"/>
        <w:rPr>
          <w:rFonts w:ascii="微软雅黑" w:eastAsia="微软雅黑" w:hAnsi="微软雅黑" w:hint="eastAsia"/>
          <w:color w:val="000000"/>
        </w:rPr>
      </w:pPr>
      <w:r>
        <w:rPr>
          <w:rFonts w:ascii="仿宋_GB2312" w:eastAsia="仿宋_GB2312" w:hAnsi="微软雅黑" w:hint="eastAsia"/>
          <w:color w:val="000000"/>
          <w:sz w:val="32"/>
          <w:szCs w:val="32"/>
        </w:rPr>
        <w:lastRenderedPageBreak/>
        <w:t>（2）对获得省级标准化示范区的企业，对获得单位一次性奖励20万元,对相关服务部门奖励5万元/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。对获得省级标准化良好行为企业的，给予获得单位一次性奖励5万元,对相关服务部门奖励1万元/</w:t>
      </w:r>
      <w:proofErr w:type="gramStart"/>
      <w:r>
        <w:rPr>
          <w:rFonts w:ascii="仿宋_GB2312" w:eastAsia="仿宋_GB2312" w:hAnsi="微软雅黑" w:hint="eastAsia"/>
          <w:color w:val="000000"/>
          <w:sz w:val="32"/>
          <w:szCs w:val="32"/>
        </w:rPr>
        <w:t>个</w:t>
      </w:r>
      <w:proofErr w:type="gramEnd"/>
      <w:r>
        <w:rPr>
          <w:rFonts w:ascii="仿宋_GB2312" w:eastAsia="仿宋_GB2312" w:hAnsi="微软雅黑" w:hint="eastAsia"/>
          <w:color w:val="000000"/>
          <w:sz w:val="32"/>
          <w:szCs w:val="32"/>
        </w:rPr>
        <w:t>。</w:t>
      </w:r>
    </w:p>
    <w:p w:rsidR="00946204" w:rsidRPr="006B12C2" w:rsidRDefault="00946204"/>
    <w:sectPr w:rsidR="00946204" w:rsidRPr="006B12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C2"/>
    <w:rsid w:val="006B12C2"/>
    <w:rsid w:val="00946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D350E-EB2A-44A3-83AA-1F145268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12C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B1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55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2018-05-21T09:13:00Z</dcterms:created>
  <dcterms:modified xsi:type="dcterms:W3CDTF">2018-05-21T09:14:00Z</dcterms:modified>
</cp:coreProperties>
</file>