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319" w:rsidRDefault="00F72319" w:rsidP="00F72319">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支持“三重</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创”建设若干政策</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贯彻落实五大发展行动计划，加快推进重大新兴产业基地、重大新兴产业工程、重大新兴产业专项建设，构建创新型现代产业体系，培育壮大经济发展新动能，根据《安徽省人民政府关于印发支持“三重一创”建设若干政策的通知》（皖政〔2017〕51号）精神，结合我市实际，实施以下政策。</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一、支持重大新兴产业基地</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1．支持新建项目。</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实际总投资（不含土地价款，下同）3000万元及以上的战略性新兴产业制造类项目，按照《六安市招商引资优惠政策若干规定（试行）》执行。</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实际总投资10亿元及以上且引领带动全市产业转型升级的战略性新兴产业制造类项目，市、县（区）联合采取“一事一议”方式给予支持。</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2．配套省级重大新兴产业基地。</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对省级重大新兴产业基地的奖励资金，市、县（区）财政按照省奖励金额1:1配套，其中，市与区按4:6分摊，市与县按3:7分摊。</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3．支持市级重大新兴产业基地。</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首次列入市级重大新兴产业基地的，补助资金最高1000万元，县（区）财政要按照1:1给予资金配套。补助资金采用后补助方式支持基地内重大项目建设、新产品研发和关键技术产业化、重大技术装备和关键零部件及新工艺示范应用、关键共性技术研发平台和第三方检验检测平台建设等。</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4．完善奖励机制。</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构建科学的基地评估指标体系，每年由市推进“三重</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创”建设领导小组办公室委托第三方机构对市级重大新兴产业基地招商引资、项目建设、产值税收等进行综合评估。其中：</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评估得分80分及以上的，奖励500万元；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评估得分70分及以上、80分以下的，奖励300万元；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评估得分60分及以上、70分以下的，奖励200万元；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评估得分60分以下的，不予奖励。</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连续2年评估得分60分以下的，予以摘牌。</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奖励资金采用后补助方式支持基地内重大项目建设、新产品研发和关键技术产业化、重大技术装备和关键零部件及新工艺示范应用、关键共性技术研发平台和第三方检验检测平台建设等。</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二、支持重大新兴产业工程</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5．配套省级重大新兴产业工程。</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对省级重大新兴产业工程研发、生产设备购置补助资金，市、县（区）财政按照1:1进行配套，其中市与区按4:6分摊，市与县按3:7分摊。</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6．支持市级重大新兴产业工程。</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对经市政府认定的市级重大新兴产业工程的研发、生产设备购置进行补助，补助比例为设备购置金额的10%，补助最高可达500万元。县（区）财政按照1:1给予资金配套。</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三、支持重大新兴产业专项</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7．配套省级重大新兴产业专项。</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对省级重大新兴产业专项研制费用补助资金，市、县（区）财政按照1:1进行配套，其中市与区按4:6分摊，市与县按3:7分摊。</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8．支持市级重大新兴产业专项。</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对经市政府认定的市级重大新兴产业专项的研制费用进行补助，补助比例为年度产品研发、样机试制和检验检测费用的30%，连续补助不超过3年，累计最高可达300万元。资金补助到县区，由县区与专项承担单位签订资金使用协议，并进行监督。县（区）财政要按照1:1给予资金配套。</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四、加快构建创新型现代产业体系</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9．支持战略性新兴产业企业成长。</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对首次纳入战略性新兴产业统计的企业，一次性奖励10万元。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10．支持创新平台建设。</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对新认定国际联合实验室（研究中心），一次性奖励300万元。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对新认定的国家地方联合工程实验室（研究中心），一次性奖励200万元。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对国际联合实验室（研究中心）、国家地方联合工程实验室（研究中心）在国家组织的运行评估中获优秀等次的，一次性奖励100万元。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对新认定的省工程（重点）实验室、工程（技术）研究中心且运行1年后达到要求的，一次性奖励50万元。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对省工程（重点）实验室、工程（技术）研究中心在省组织的运行评估中获优秀等次的，一次性奖励50万元。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对企业联合高校院所建立的产业协同创新中心，研发活动和科技成果转移转化等情况评估获优秀等次的，一次性奖励50万元。</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市属和省、部属单位由市财政按照</w:t>
      </w:r>
      <w:proofErr w:type="gramStart"/>
      <w:r>
        <w:rPr>
          <w:rFonts w:ascii="微软雅黑" w:eastAsia="微软雅黑" w:hAnsi="微软雅黑" w:hint="eastAsia"/>
          <w:color w:val="333333"/>
          <w:sz w:val="21"/>
          <w:szCs w:val="21"/>
        </w:rPr>
        <w:t>以上奖补</w:t>
      </w:r>
      <w:proofErr w:type="gramEnd"/>
      <w:r>
        <w:rPr>
          <w:rFonts w:ascii="微软雅黑" w:eastAsia="微软雅黑" w:hAnsi="微软雅黑" w:hint="eastAsia"/>
          <w:color w:val="333333"/>
          <w:sz w:val="21"/>
          <w:szCs w:val="21"/>
        </w:rPr>
        <w:t>标准给予支持；属于县（区）的企业和单位由同级财政按照</w:t>
      </w:r>
      <w:proofErr w:type="gramStart"/>
      <w:r>
        <w:rPr>
          <w:rFonts w:ascii="微软雅黑" w:eastAsia="微软雅黑" w:hAnsi="微软雅黑" w:hint="eastAsia"/>
          <w:color w:val="333333"/>
          <w:sz w:val="21"/>
          <w:szCs w:val="21"/>
        </w:rPr>
        <w:t>以上奖补</w:t>
      </w:r>
      <w:proofErr w:type="gramEnd"/>
      <w:r>
        <w:rPr>
          <w:rFonts w:ascii="微软雅黑" w:eastAsia="微软雅黑" w:hAnsi="微软雅黑" w:hint="eastAsia"/>
          <w:color w:val="333333"/>
          <w:sz w:val="21"/>
          <w:szCs w:val="21"/>
        </w:rPr>
        <w:t>标准的60%给予支持，市财政在县（区）</w:t>
      </w:r>
      <w:proofErr w:type="gramStart"/>
      <w:r>
        <w:rPr>
          <w:rFonts w:ascii="微软雅黑" w:eastAsia="微软雅黑" w:hAnsi="微软雅黑" w:hint="eastAsia"/>
          <w:color w:val="333333"/>
          <w:sz w:val="21"/>
          <w:szCs w:val="21"/>
        </w:rPr>
        <w:t>先行奖补的</w:t>
      </w:r>
      <w:proofErr w:type="gramEnd"/>
      <w:r>
        <w:rPr>
          <w:rFonts w:ascii="微软雅黑" w:eastAsia="微软雅黑" w:hAnsi="微软雅黑" w:hint="eastAsia"/>
          <w:color w:val="333333"/>
          <w:sz w:val="21"/>
          <w:szCs w:val="21"/>
        </w:rPr>
        <w:t>基础上按照</w:t>
      </w:r>
      <w:proofErr w:type="gramStart"/>
      <w:r>
        <w:rPr>
          <w:rFonts w:ascii="微软雅黑" w:eastAsia="微软雅黑" w:hAnsi="微软雅黑" w:hint="eastAsia"/>
          <w:color w:val="333333"/>
          <w:sz w:val="21"/>
          <w:szCs w:val="21"/>
        </w:rPr>
        <w:t>以上奖补</w:t>
      </w:r>
      <w:proofErr w:type="gramEnd"/>
      <w:r>
        <w:rPr>
          <w:rFonts w:ascii="微软雅黑" w:eastAsia="微软雅黑" w:hAnsi="微软雅黑" w:hint="eastAsia"/>
          <w:color w:val="333333"/>
          <w:sz w:val="21"/>
          <w:szCs w:val="21"/>
        </w:rPr>
        <w:t>标准的40%给予支持；属于六安开发区、市集中示范园区的企业和单位由园区财政按</w:t>
      </w:r>
      <w:proofErr w:type="gramStart"/>
      <w:r>
        <w:rPr>
          <w:rFonts w:ascii="微软雅黑" w:eastAsia="微软雅黑" w:hAnsi="微软雅黑" w:hint="eastAsia"/>
          <w:color w:val="333333"/>
          <w:sz w:val="21"/>
          <w:szCs w:val="21"/>
        </w:rPr>
        <w:t>以上奖补</w:t>
      </w:r>
      <w:proofErr w:type="gramEnd"/>
      <w:r>
        <w:rPr>
          <w:rFonts w:ascii="微软雅黑" w:eastAsia="微软雅黑" w:hAnsi="微软雅黑" w:hint="eastAsia"/>
          <w:color w:val="333333"/>
          <w:sz w:val="21"/>
          <w:szCs w:val="21"/>
        </w:rPr>
        <w:t>标准的40%给予支持，市财政在开发区和园区</w:t>
      </w:r>
      <w:proofErr w:type="gramStart"/>
      <w:r>
        <w:rPr>
          <w:rFonts w:ascii="微软雅黑" w:eastAsia="微软雅黑" w:hAnsi="微软雅黑" w:hint="eastAsia"/>
          <w:color w:val="333333"/>
          <w:sz w:val="21"/>
          <w:szCs w:val="21"/>
        </w:rPr>
        <w:t>先行奖补的</w:t>
      </w:r>
      <w:proofErr w:type="gramEnd"/>
      <w:r>
        <w:rPr>
          <w:rFonts w:ascii="微软雅黑" w:eastAsia="微软雅黑" w:hAnsi="微软雅黑" w:hint="eastAsia"/>
          <w:color w:val="333333"/>
          <w:sz w:val="21"/>
          <w:szCs w:val="21"/>
        </w:rPr>
        <w:t>基础上按照</w:t>
      </w:r>
      <w:proofErr w:type="gramStart"/>
      <w:r>
        <w:rPr>
          <w:rFonts w:ascii="微软雅黑" w:eastAsia="微软雅黑" w:hAnsi="微软雅黑" w:hint="eastAsia"/>
          <w:color w:val="333333"/>
          <w:sz w:val="21"/>
          <w:szCs w:val="21"/>
        </w:rPr>
        <w:t>以上奖补</w:t>
      </w:r>
      <w:proofErr w:type="gramEnd"/>
      <w:r>
        <w:rPr>
          <w:rFonts w:ascii="微软雅黑" w:eastAsia="微软雅黑" w:hAnsi="微软雅黑" w:hint="eastAsia"/>
          <w:color w:val="333333"/>
          <w:sz w:val="21"/>
          <w:szCs w:val="21"/>
        </w:rPr>
        <w:lastRenderedPageBreak/>
        <w:t>标准的60%给予支持。其他创新平台建设奖励政策，仍由市科技局按照《六安市人民政府办公室关于印发六安市创新驱动发展专项资金管理办法（修订）的通知》（</w:t>
      </w:r>
      <w:proofErr w:type="gramStart"/>
      <w:r>
        <w:rPr>
          <w:rFonts w:ascii="微软雅黑" w:eastAsia="微软雅黑" w:hAnsi="微软雅黑" w:hint="eastAsia"/>
          <w:color w:val="333333"/>
          <w:sz w:val="21"/>
          <w:szCs w:val="21"/>
        </w:rPr>
        <w:t>六政办</w:t>
      </w:r>
      <w:proofErr w:type="gramEnd"/>
      <w:r>
        <w:rPr>
          <w:rFonts w:ascii="微软雅黑" w:eastAsia="微软雅黑" w:hAnsi="微软雅黑" w:hint="eastAsia"/>
          <w:color w:val="333333"/>
          <w:sz w:val="21"/>
          <w:szCs w:val="21"/>
        </w:rPr>
        <w:t>〔2016〕59号）规定执行。</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以上奖励资金用于创新平台的研发活动。</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11．支持创新创业。</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对新认定的国家双创示范基地，一次性奖励500万元，县（区）财政按照1:1进行配套，所有补助资金专项用于示范基地建设。</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12．开展股权投资。</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资金可进行股权投资，委托市产投公司进行股权投资管理。对总投资1亿元以上的战略性新兴产业制造类项目，根据企业的成长性和需求，可进行股权投资，</w:t>
      </w:r>
      <w:proofErr w:type="gramStart"/>
      <w:r>
        <w:rPr>
          <w:rFonts w:ascii="微软雅黑" w:eastAsia="微软雅黑" w:hAnsi="微软雅黑" w:hint="eastAsia"/>
          <w:color w:val="333333"/>
          <w:sz w:val="21"/>
          <w:szCs w:val="21"/>
        </w:rPr>
        <w:t>市发改委</w:t>
      </w:r>
      <w:proofErr w:type="gramEnd"/>
      <w:r>
        <w:rPr>
          <w:rFonts w:ascii="微软雅黑" w:eastAsia="微软雅黑" w:hAnsi="微软雅黑" w:hint="eastAsia"/>
          <w:color w:val="333333"/>
          <w:sz w:val="21"/>
          <w:szCs w:val="21"/>
        </w:rPr>
        <w:t>、市财政局、市金融办、市产投公司等单位对拟扶持项目形成投资预案后，报送市推进“三重</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创”建设工作领导小组审核同意实施。</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13．运用基金支持。</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按照“产业+基金”、“基地+基金”模式，积极</w:t>
      </w:r>
      <w:proofErr w:type="gramStart"/>
      <w:r>
        <w:rPr>
          <w:rFonts w:ascii="微软雅黑" w:eastAsia="微软雅黑" w:hAnsi="微软雅黑" w:hint="eastAsia"/>
          <w:color w:val="333333"/>
          <w:sz w:val="21"/>
          <w:szCs w:val="21"/>
        </w:rPr>
        <w:t>跟进省产业</w:t>
      </w:r>
      <w:proofErr w:type="gramEnd"/>
      <w:r>
        <w:rPr>
          <w:rFonts w:ascii="微软雅黑" w:eastAsia="微软雅黑" w:hAnsi="微软雅黑" w:hint="eastAsia"/>
          <w:color w:val="333333"/>
          <w:sz w:val="21"/>
          <w:szCs w:val="21"/>
        </w:rPr>
        <w:t>基金设立布局，围绕上下对接，对口争取支持，设立相关产业基金，主要投向重大新兴产业基地、重大新兴产业工程、重大新兴产业专项中处于成长期和成熟期的项目。基金主要以股权形式投资非上市企业，参与挂牌企业定向增发，支持企业开展并购重组。基金主要通过投资企业首发上市或并购、“新三板”挂牌、股权回购、股权转让、股权置换等途径实现退出。基金存续期满未能退出，原则上按约定进行清算退出。不在基地范围内，符合条件的战略性新兴产业企业和制造类项目可享受上述政策。</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将市战略性新兴产业集聚发展基地建设专项引导资金更名为市“三重</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创”建设专项引导资金。</w:t>
      </w:r>
      <w:proofErr w:type="gramStart"/>
      <w:r>
        <w:rPr>
          <w:rFonts w:ascii="微软雅黑" w:eastAsia="微软雅黑" w:hAnsi="微软雅黑" w:hint="eastAsia"/>
          <w:color w:val="333333"/>
          <w:sz w:val="21"/>
          <w:szCs w:val="21"/>
        </w:rPr>
        <w:t>市发改委</w:t>
      </w:r>
      <w:proofErr w:type="gramEnd"/>
      <w:r>
        <w:rPr>
          <w:rFonts w:ascii="微软雅黑" w:eastAsia="微软雅黑" w:hAnsi="微软雅黑" w:hint="eastAsia"/>
          <w:color w:val="333333"/>
          <w:sz w:val="21"/>
          <w:szCs w:val="21"/>
        </w:rPr>
        <w:t>会同市财政局、市金融办等单位制定具体实施细则。要严格申报程序，加</w:t>
      </w:r>
      <w:r>
        <w:rPr>
          <w:rFonts w:ascii="微软雅黑" w:eastAsia="微软雅黑" w:hAnsi="微软雅黑" w:hint="eastAsia"/>
          <w:color w:val="333333"/>
          <w:sz w:val="21"/>
          <w:szCs w:val="21"/>
        </w:rPr>
        <w:lastRenderedPageBreak/>
        <w:t>强审核评估，强化部门会商会签，充分利用信</w:t>
      </w:r>
      <w:bookmarkStart w:id="0" w:name="_GoBack"/>
      <w:bookmarkEnd w:id="0"/>
      <w:r>
        <w:rPr>
          <w:rFonts w:ascii="微软雅黑" w:eastAsia="微软雅黑" w:hAnsi="微软雅黑" w:hint="eastAsia"/>
          <w:color w:val="333333"/>
          <w:sz w:val="21"/>
          <w:szCs w:val="21"/>
        </w:rPr>
        <w:t>息管理平台，避免多头重复享受，做到简便快捷、公开透明、规范高效。要加快资金拨付，加强资金监管，加大审计监督力度。对弄虚作假骗取</w:t>
      </w:r>
      <w:proofErr w:type="gramStart"/>
      <w:r>
        <w:rPr>
          <w:rFonts w:ascii="微软雅黑" w:eastAsia="微软雅黑" w:hAnsi="微软雅黑" w:hint="eastAsia"/>
          <w:color w:val="333333"/>
          <w:sz w:val="21"/>
          <w:szCs w:val="21"/>
        </w:rPr>
        <w:t>的奖补资金</w:t>
      </w:r>
      <w:proofErr w:type="gramEnd"/>
      <w:r>
        <w:rPr>
          <w:rFonts w:ascii="微软雅黑" w:eastAsia="微软雅黑" w:hAnsi="微软雅黑" w:hint="eastAsia"/>
          <w:color w:val="333333"/>
          <w:sz w:val="21"/>
          <w:szCs w:val="21"/>
        </w:rPr>
        <w:t>，一经发现全部予以收回，并按照有关规定对责任单位、申报单位及相关责任人给予严肃处理。各县区要设立专项资金，抓紧出台配套政策，形成政策联动，并加强宣传解读，推进政策落地。</w:t>
      </w:r>
    </w:p>
    <w:p w:rsidR="00F72319" w:rsidRDefault="00F72319" w:rsidP="00F7231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本通知由</w:t>
      </w:r>
      <w:proofErr w:type="gramStart"/>
      <w:r>
        <w:rPr>
          <w:rFonts w:ascii="微软雅黑" w:eastAsia="微软雅黑" w:hAnsi="微软雅黑" w:hint="eastAsia"/>
          <w:color w:val="333333"/>
          <w:sz w:val="21"/>
          <w:szCs w:val="21"/>
        </w:rPr>
        <w:t>市发改委</w:t>
      </w:r>
      <w:proofErr w:type="gramEnd"/>
      <w:r>
        <w:rPr>
          <w:rFonts w:ascii="微软雅黑" w:eastAsia="微软雅黑" w:hAnsi="微软雅黑" w:hint="eastAsia"/>
          <w:color w:val="333333"/>
          <w:sz w:val="21"/>
          <w:szCs w:val="21"/>
        </w:rPr>
        <w:t>负责解释，以前相关文件规定与本通知不一致的以本通知为准。</w:t>
      </w:r>
    </w:p>
    <w:p w:rsidR="007327E3" w:rsidRPr="00F72319" w:rsidRDefault="00F72319" w:rsidP="00F72319">
      <w:pPr>
        <w:jc w:val="right"/>
      </w:pPr>
      <w:r>
        <w:rPr>
          <w:rFonts w:ascii="微软雅黑" w:eastAsia="微软雅黑" w:hAnsi="微软雅黑" w:hint="eastAsia"/>
          <w:color w:val="333333"/>
          <w:szCs w:val="21"/>
          <w:shd w:val="clear" w:color="auto" w:fill="FFFFFF"/>
        </w:rPr>
        <w:t> 2017年9月22日</w:t>
      </w:r>
    </w:p>
    <w:sectPr w:rsidR="007327E3" w:rsidRPr="00F72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E8"/>
    <w:rsid w:val="007327E3"/>
    <w:rsid w:val="00C82BE8"/>
    <w:rsid w:val="00F7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99745-6F90-4E71-B3EE-345E8D93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3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1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2018-05-16T06:35:00Z</dcterms:created>
  <dcterms:modified xsi:type="dcterms:W3CDTF">2018-05-16T06:35:00Z</dcterms:modified>
</cp:coreProperties>
</file>