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6F3" w:rsidRDefault="007556F3" w:rsidP="007556F3">
      <w:pPr>
        <w:pStyle w:val="a3"/>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各乡、镇人民政府、街道办事处，市政府各部门、各直属机构：</w:t>
      </w: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为进一步加快我市建筑业发展步伐，促进建筑业转型升级做大做强，提升竞争力，更好的发挥建筑业在我市经济社会发展中的支撑作用，根据《安徽省人民政府关于促进建筑业转型升级加快发展的指导意见》（皖政〔2013〕4号）和《滁州市人民政府关于促进建筑业转型升级加快发展的若干意见》（</w:t>
      </w:r>
      <w:proofErr w:type="gramStart"/>
      <w:r>
        <w:rPr>
          <w:rFonts w:ascii="微软雅黑" w:eastAsia="微软雅黑" w:hAnsi="微软雅黑" w:hint="eastAsia"/>
          <w:color w:val="333333"/>
        </w:rPr>
        <w:t>滁</w:t>
      </w:r>
      <w:proofErr w:type="gramEnd"/>
      <w:r>
        <w:rPr>
          <w:rFonts w:ascii="微软雅黑" w:eastAsia="微软雅黑" w:hAnsi="微软雅黑" w:hint="eastAsia"/>
          <w:color w:val="333333"/>
        </w:rPr>
        <w:t>政〔2014〕60号）精神，结合我市实际，制定本实施意见。</w:t>
      </w: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一、总体目标</w:t>
      </w: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鼓励支持建筑企业以产权为纽带，通过整合资源，以联合、重组、兼并、股份制等形式加快培育建筑领军企业迅速做大做</w:t>
      </w:r>
      <w:proofErr w:type="gramStart"/>
      <w:r>
        <w:rPr>
          <w:rFonts w:ascii="微软雅黑" w:eastAsia="微软雅黑" w:hAnsi="微软雅黑" w:hint="eastAsia"/>
          <w:color w:val="333333"/>
        </w:rPr>
        <w:t>强做</w:t>
      </w:r>
      <w:proofErr w:type="gramEnd"/>
      <w:r>
        <w:rPr>
          <w:rFonts w:ascii="微软雅黑" w:eastAsia="微软雅黑" w:hAnsi="微软雅黑" w:hint="eastAsia"/>
          <w:color w:val="333333"/>
        </w:rPr>
        <w:t>精。到“十三五”末，力争创成一级施工总承包资质企业2-3家、专业承包一级资质企业2-3家、二级及以上资质企业达80%以上，谋划特级资质企业1家。</w:t>
      </w: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二、转型升级</w:t>
      </w: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（一）加快培育龙头骨干企业</w:t>
      </w: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p>
    <w:p w:rsidR="007556F3" w:rsidRDefault="007556F3" w:rsidP="007556F3">
      <w:pPr>
        <w:pStyle w:val="a3"/>
        <w:shd w:val="clear" w:color="auto" w:fill="FFFFFF"/>
        <w:spacing w:before="0" w:beforeAutospacing="0" w:after="0" w:afterAutospacing="0"/>
        <w:ind w:firstLine="480"/>
        <w:rPr>
          <w:rFonts w:ascii="微软雅黑" w:eastAsia="微软雅黑" w:hAnsi="微软雅黑" w:hint="eastAsia"/>
          <w:color w:val="333333"/>
        </w:rPr>
      </w:pPr>
      <w:proofErr w:type="gramStart"/>
      <w:r>
        <w:rPr>
          <w:rFonts w:ascii="微软雅黑" w:eastAsia="微软雅黑" w:hAnsi="微软雅黑" w:hint="eastAsia"/>
          <w:color w:val="333333"/>
        </w:rPr>
        <w:t>支持总</w:t>
      </w:r>
      <w:proofErr w:type="gramEnd"/>
      <w:r>
        <w:rPr>
          <w:rFonts w:ascii="微软雅黑" w:eastAsia="微软雅黑" w:hAnsi="微软雅黑" w:hint="eastAsia"/>
          <w:color w:val="333333"/>
        </w:rPr>
        <w:t>承包企业拓宽服务领域，做大做强一批贰级及以上资质企业，带动全市建筑业全面升级，形成一批具有较强竞争力的明光市建筑业知名企业、品牌企业。鼓励有发展潜力的企业提升资质等级、增项专业类别、扩大承包范</w:t>
      </w:r>
      <w:r>
        <w:rPr>
          <w:rFonts w:ascii="微软雅黑" w:eastAsia="微软雅黑" w:hAnsi="微软雅黑" w:hint="eastAsia"/>
          <w:color w:val="333333"/>
        </w:rPr>
        <w:lastRenderedPageBreak/>
        <w:t>围。鼓励低资质企业整合和重组，联合组建的建筑业企业集团，其子公司可继续保持原有资质，共享企业业绩、人力资源等。鼓励兴办、发展建筑产业化企业。</w:t>
      </w:r>
    </w:p>
    <w:p w:rsidR="007556F3" w:rsidRDefault="007556F3" w:rsidP="007556F3">
      <w:pPr>
        <w:pStyle w:val="a3"/>
        <w:numPr>
          <w:ilvl w:val="0"/>
          <w:numId w:val="1"/>
        </w:numPr>
        <w:shd w:val="clear" w:color="auto" w:fill="FFFFFF"/>
        <w:spacing w:before="0" w:beforeAutospacing="0" w:after="0" w:afterAutospacing="0"/>
        <w:ind w:left="0"/>
        <w:textAlignment w:val="center"/>
        <w:rPr>
          <w:rFonts w:ascii="微软雅黑" w:eastAsia="微软雅黑" w:hAnsi="微软雅黑" w:hint="eastAsia"/>
          <w:color w:val="333333"/>
        </w:rPr>
      </w:pPr>
      <w:r>
        <w:rPr>
          <w:rFonts w:ascii="微软雅黑" w:eastAsia="微软雅黑" w:hAnsi="微软雅黑" w:hint="eastAsia"/>
          <w:color w:val="333333"/>
        </w:rPr>
        <w:t>创新经营管理方式</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支持鼓励建筑业企业深化产权制度改革，创新经营管理方式，开展多种经营，形成主业突出、多元发展的经营格局。引导和支持中小型建筑业企业向专业化技术型方向发展，将专业承包的主业做精做专。重点扶持一批防腐工程、装饰工程等经营特色明显、市场前景广阔的专业承包企业，鼓励专业承包企业向设计施工一体化发展。</w:t>
      </w:r>
    </w:p>
    <w:p w:rsidR="007556F3" w:rsidRDefault="007556F3" w:rsidP="007556F3">
      <w:pPr>
        <w:pStyle w:val="a3"/>
        <w:numPr>
          <w:ilvl w:val="0"/>
          <w:numId w:val="1"/>
        </w:numPr>
        <w:shd w:val="clear" w:color="auto" w:fill="FFFFFF"/>
        <w:spacing w:before="0" w:beforeAutospacing="0" w:after="0" w:afterAutospacing="0"/>
        <w:ind w:left="0"/>
        <w:textAlignment w:val="center"/>
        <w:rPr>
          <w:rFonts w:ascii="微软雅黑" w:eastAsia="微软雅黑" w:hAnsi="微软雅黑" w:hint="eastAsia"/>
          <w:color w:val="333333"/>
        </w:rPr>
      </w:pPr>
      <w:r>
        <w:rPr>
          <w:rFonts w:ascii="微软雅黑" w:eastAsia="微软雅黑" w:hAnsi="微软雅黑" w:hint="eastAsia"/>
          <w:color w:val="333333"/>
        </w:rPr>
        <w:t>规范发展劳务分包企业</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加强从业人员培训，提高专业素质和执业能力。加大农村富余劳动力的培训和转移力度，加强建筑劳务基地建设，有计划地对农村富余劳动力进行建筑技能岗位培训。引导、支持建筑企业与建筑劳务基地接轨，建立长期稳定的建筑劳务合作关系。规范劳务分包企业管理，实行劳务企业劳务用工实名制。</w:t>
      </w:r>
    </w:p>
    <w:p w:rsidR="007556F3" w:rsidRDefault="007556F3" w:rsidP="007556F3">
      <w:pPr>
        <w:pStyle w:val="a3"/>
        <w:numPr>
          <w:ilvl w:val="0"/>
          <w:numId w:val="1"/>
        </w:numPr>
        <w:shd w:val="clear" w:color="auto" w:fill="FFFFFF"/>
        <w:spacing w:before="0" w:beforeAutospacing="0" w:after="0" w:afterAutospacing="0"/>
        <w:ind w:left="0"/>
        <w:textAlignment w:val="center"/>
        <w:rPr>
          <w:rFonts w:ascii="微软雅黑" w:eastAsia="微软雅黑" w:hAnsi="微软雅黑" w:hint="eastAsia"/>
          <w:color w:val="333333"/>
        </w:rPr>
      </w:pPr>
      <w:r>
        <w:rPr>
          <w:rFonts w:ascii="微软雅黑" w:eastAsia="微软雅黑" w:hAnsi="微软雅黑" w:hint="eastAsia"/>
          <w:color w:val="333333"/>
        </w:rPr>
        <w:t>大力发展总部经济</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以龙头、骨干企业为支撑，鼓励建筑业总部企业发展。积极吸引外地的施工总承包特级、一级企业，专业承包一级企业，勘察设计、监理</w:t>
      </w:r>
      <w:proofErr w:type="gramStart"/>
      <w:r>
        <w:rPr>
          <w:rFonts w:ascii="微软雅黑" w:eastAsia="微软雅黑" w:hAnsi="微软雅黑" w:hint="eastAsia"/>
          <w:color w:val="333333"/>
        </w:rPr>
        <w:t>行业甲级</w:t>
      </w:r>
      <w:proofErr w:type="gramEnd"/>
      <w:r>
        <w:rPr>
          <w:rFonts w:ascii="微软雅黑" w:eastAsia="微软雅黑" w:hAnsi="微软雅黑" w:hint="eastAsia"/>
          <w:color w:val="333333"/>
        </w:rPr>
        <w:t>及以上企业在我市设立总部，并享受发展总部经济和招商引资有关优惠政策。外地大型建筑业企业在我市设立总部的，优先保障企业总部落户所需的生产生活用地计划。鼓励我市建筑业企业与外地大型建筑业企业组建联合体，共同参与高端建筑市场竞争。积极推进建筑产业园建设，以科技研发为导向，启动现代建筑研发平台，集合新能源房屋技术，推动轻钢结构产业，发展太阳能建筑材料与构</w:t>
      </w:r>
      <w:r>
        <w:rPr>
          <w:rFonts w:ascii="微软雅黑" w:eastAsia="微软雅黑" w:hAnsi="微软雅黑" w:hint="eastAsia"/>
          <w:color w:val="333333"/>
        </w:rPr>
        <w:lastRenderedPageBreak/>
        <w:t>件一体化、构件生产工业化、施工机械化、装修一体化、管理信息化，发展现代建筑机电产业、现代建筑墙体产业。将建筑产业园发展为龙头骨干企业聚集，设计、生产、施工体系完善，电子商务与物流配套齐全的产业基地。</w:t>
      </w:r>
    </w:p>
    <w:p w:rsidR="007556F3" w:rsidRDefault="007556F3" w:rsidP="007556F3">
      <w:pPr>
        <w:pStyle w:val="a3"/>
        <w:numPr>
          <w:ilvl w:val="0"/>
          <w:numId w:val="1"/>
        </w:numPr>
        <w:shd w:val="clear" w:color="auto" w:fill="FFFFFF"/>
        <w:spacing w:before="0" w:beforeAutospacing="0" w:after="0" w:afterAutospacing="0"/>
        <w:ind w:left="0"/>
        <w:textAlignment w:val="center"/>
        <w:rPr>
          <w:rFonts w:ascii="微软雅黑" w:eastAsia="微软雅黑" w:hAnsi="微软雅黑" w:hint="eastAsia"/>
          <w:color w:val="333333"/>
        </w:rPr>
      </w:pPr>
      <w:r>
        <w:rPr>
          <w:rFonts w:ascii="微软雅黑" w:eastAsia="微软雅黑" w:hAnsi="微软雅黑" w:hint="eastAsia"/>
          <w:color w:val="333333"/>
        </w:rPr>
        <w:t>加快创先争优和科技创新</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鼓励企业创先争优，积极争创优质工程、优秀建筑业企业、优秀建筑业企业家。加快我市绿色建筑发展步伐，加强产学研合作，加快创新创业平台建设。积极实施建筑业科技示范工程，鼓励企业主持、参与制定国家和行业标准，鼓励企业开发具有自主知识产权的专业技术，创新具有自身特点的企业技术标准和工法。加强企业核心技术储备，支持企业加强节能、环保、智能化等建筑业重大关键技术、共性技术和专业施工技术、尖端施工技术的联合攻关，加快科技成果的转化和应用，不断提高我市建筑业的核心竞争力。</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三、扶持措施</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（六）鼓励企业升级</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对晋升为特级资质的本地建筑企业扶持200万元；对新晋升为施工总承包一级资质的本地建筑企业扶持100万元；对新晋升为施工总承包二级资质、专业承包一级资质的本地建筑企业扶持50万元；对新取得施工总承包三级资质的本地建筑企业扶持30万元；对新取得甲级工程勘察设计资质、甲级监理资质和甲级造价咨询资质的本地企业各扶持30万元；对新取得乙级工程勘察设计资质、乙级监理资质和乙级造价咨询资质的本地企业各扶持10万元。</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（七）鼓励企业上台阶</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1.对建筑业企业主营业务年度收入（以在税务部门开票收入为准）首次超过2亿元、5亿元、10亿元、20亿元的，分别一次性扶持5万元、10万元、20</w:t>
      </w:r>
      <w:r>
        <w:rPr>
          <w:rFonts w:ascii="微软雅黑" w:eastAsia="微软雅黑" w:hAnsi="微软雅黑" w:hint="eastAsia"/>
          <w:color w:val="333333"/>
        </w:rPr>
        <w:lastRenderedPageBreak/>
        <w:t>万元、40万元。每上一个台阶扶持一次，超过20亿后，每增长5亿元一次性扶持10万元。</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2.凡本市资质以上建筑企业实行了联合、并购、重组的，因过户变更而新增成本费用的，给予一定的扶持。</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3.建筑业企业当年在我市入库增值税达300万元以上，且与上年相比增长的，按当年入库税款比上一年度增长部分的地方留成部分的50%计算，给予企业扶持。企业所得税按当年入库税款比上一年度增长部分的地方留成部分，全额给予企业扶持。</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4.对建筑企业在外地实际施工回我市缴纳增值税的，按所缴纳的增值税地方留成部分的50%计算，给予企业扶持。</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（八）鼓励企业创优创标</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1.对在我市施工工程获得“鲁班奖”工程的施工承建企业和参建企业，分别扶持50万元和10万元；获“国家优质工程金奖”，</w:t>
      </w:r>
      <w:proofErr w:type="gramStart"/>
      <w:r>
        <w:rPr>
          <w:rFonts w:ascii="微软雅黑" w:eastAsia="微软雅黑" w:hAnsi="微软雅黑" w:hint="eastAsia"/>
          <w:color w:val="333333"/>
        </w:rPr>
        <w:t>扶持总</w:t>
      </w:r>
      <w:proofErr w:type="gramEnd"/>
      <w:r>
        <w:rPr>
          <w:rFonts w:ascii="微软雅黑" w:eastAsia="微软雅黑" w:hAnsi="微软雅黑" w:hint="eastAsia"/>
          <w:color w:val="333333"/>
        </w:rPr>
        <w:t>承包单位40万元；获“国家优质工程银奖”、省级“黄山杯”、部级优质工程最高奖项的，</w:t>
      </w:r>
      <w:proofErr w:type="gramStart"/>
      <w:r>
        <w:rPr>
          <w:rFonts w:ascii="微软雅黑" w:eastAsia="微软雅黑" w:hAnsi="微软雅黑" w:hint="eastAsia"/>
          <w:color w:val="333333"/>
        </w:rPr>
        <w:t>扶持总</w:t>
      </w:r>
      <w:proofErr w:type="gramEnd"/>
      <w:r>
        <w:rPr>
          <w:rFonts w:ascii="微软雅黑" w:eastAsia="微软雅黑" w:hAnsi="微软雅黑" w:hint="eastAsia"/>
          <w:color w:val="333333"/>
        </w:rPr>
        <w:t>承包单位20万元；获滁州市“琅琊杯”奖项的，</w:t>
      </w:r>
      <w:proofErr w:type="gramStart"/>
      <w:r>
        <w:rPr>
          <w:rFonts w:ascii="微软雅黑" w:eastAsia="微软雅黑" w:hAnsi="微软雅黑" w:hint="eastAsia"/>
          <w:color w:val="333333"/>
        </w:rPr>
        <w:t>扶持总</w:t>
      </w:r>
      <w:proofErr w:type="gramEnd"/>
      <w:r>
        <w:rPr>
          <w:rFonts w:ascii="微软雅黑" w:eastAsia="微软雅黑" w:hAnsi="微软雅黑" w:hint="eastAsia"/>
          <w:color w:val="333333"/>
        </w:rPr>
        <w:t>承包单位10万元。同一工程多次扶持的，就高扶持。</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2.对在我市施工工程创成全国建筑施工安全质量标准化示范工地、国家级AAA级安全文明标准化工地的，每项扶持10万元；创成省级建筑施工安全生产标准化示范工地，每项奖励5万元；创成滁州市级建筑施工安全生产标准化示范工地，每项奖励2万元。同一工程多次扶持的，就高扶持。</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3.对荣获国家级、省级“守合同、重信用”的企业，分别给予10万元、3万元的一次性扶持。</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lastRenderedPageBreak/>
        <w:t>（九）鼓励企业科技创新</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1.对获得国家科学技术进步一等奖、二等奖、三等奖项目的第一完成建筑企业，分别扶持200万元、100万元、50万元；对获得省级科学技术进步一等奖、二等奖、三等奖项目的第一完成建筑企业，分别扶持20万元、10万元、5万元；对获得发明专利授权的，给予一次性1万元扶持。</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2.对建筑企业制定的工法获国家级、省级认定，分别给予一次性10万元、5万元扶持。</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（十）加强金融支持力度</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1.金融机构对已签订承接工程合同且项目资本金到位的，要提供信贷资金支持；对信誉良好、经济实力较强的企业，在风险可控、还款资金有保障的前提下，可以将应收工程款作为质押标的，发放贷款。鼓励对建筑企业开展在建工程抵押贷款和融资租赁。</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2.建筑业企业在外埠承建20层以上或造价3000万元以上的工程，凡符合信贷政策和贷款条件的，可凭工程承包合同和施工许可证向企业注册地开户银行申请贷款。</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（十一）强化人才支撑</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1.鼓励建筑企业引进高级经营管理人才、科技人才和技术工人，引进人员可享受我市人才引进相关政策待遇。推动建筑企业与高等院校共建各</w:t>
      </w:r>
      <w:proofErr w:type="gramStart"/>
      <w:r>
        <w:rPr>
          <w:rFonts w:ascii="微软雅黑" w:eastAsia="微软雅黑" w:hAnsi="微软雅黑" w:hint="eastAsia"/>
          <w:color w:val="333333"/>
        </w:rPr>
        <w:t>类创新</w:t>
      </w:r>
      <w:proofErr w:type="gramEnd"/>
      <w:r>
        <w:rPr>
          <w:rFonts w:ascii="微软雅黑" w:eastAsia="微软雅黑" w:hAnsi="微软雅黑" w:hint="eastAsia"/>
          <w:color w:val="333333"/>
        </w:rPr>
        <w:t>创业载体，培养引进经营管理专业技术人才。</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2.支持建筑企业加强职工职业技能和安全教育培训，建筑企业发生的职工教育经费支出，不超过工资薪金总额2.5%的部分，准予在企业所得税税前予以扣除；超过部分，准予在以后纳税年度结转扣除。</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lastRenderedPageBreak/>
        <w:t>3.企业按政策规定对新录用劳动者开展技能培训的，按照每人800元的标准给予企业培训补贴。对参加技能提升培训后取得国家职业资格证书的，按中级工、高级工、技师、高级技师分别给予所在企业每人次500元、1000元、2000元、3000元的培训费扶持。</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（十二）减轻企业负担</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1.建筑业企业可采用银行保函作为保证金缴纳形式，规范保证金管理制度，及时返还各类保证金。实行农民工工资保证金差别化管理。对上一年度未拖欠农民工工资的建筑施工企业，当年农民工工资保证金减按50%收取，连续两年未拖欠的减按40%收取，连续3年以上未拖欠的免缴保证金。</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2.建立工程款结算、协调、仲裁和清算约束机制，建立健全农民工工资（劳务费）专用账户管理制度。建设单位应按照工程承包合同约定的比例或施工总承包企业提供的人工费用数额，将应付工程款中的人工费单独拨付到施工总承包企业开设的农民工工资（劳务费）专用账户。</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（十三）优化发展环境</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1.建立领导分层联系帮扶企业机制。成立明光</w:t>
      </w:r>
      <w:proofErr w:type="gramStart"/>
      <w:r>
        <w:rPr>
          <w:rFonts w:ascii="微软雅黑" w:eastAsia="微软雅黑" w:hAnsi="微软雅黑" w:hint="eastAsia"/>
          <w:color w:val="333333"/>
        </w:rPr>
        <w:t>市促进</w:t>
      </w:r>
      <w:proofErr w:type="gramEnd"/>
      <w:r>
        <w:rPr>
          <w:rFonts w:ascii="微软雅黑" w:eastAsia="微软雅黑" w:hAnsi="微软雅黑" w:hint="eastAsia"/>
          <w:color w:val="333333"/>
        </w:rPr>
        <w:t>建筑业转型升级加快发展工作领导小组，领导小组办公室设在市住建局，负责谋划行业发展规划，制定年度工作目标，落实扶持建筑业发展的具体政策措施，加强协调服务和指导监督。</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2.加快构建统一的工程建设监管与信用体系平台和建筑企业、人员、项目信用数据库，将建筑企业信用综合评定与招投标、资质审批、评优评奖、工程担保等挂钩，实行差别化动态监管，实现建筑市场信用信息互通、互认、互用。</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lastRenderedPageBreak/>
        <w:t>3.完善建筑经济考核评价指标体系，严格兑现奖惩。围绕主要经济指标和重大项目建设情况，建立年度评估机制，实行月统计、季度通报、每年开展一次全市建筑企业评选表彰活动。对优秀建筑企业及企业家给予表彰，纳税额前3位的企业，授予“建筑业突出贡献企业”；对当年入库税收超500万元的企业法定代表人，授予“先进企业家”称号；对当年入库税收超1000万元的企业法定代表人，授予“优秀企业家”称号；对当年入库税收超3000万元的企业法定代表人，授予“突出贡献企业家”称号。</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四、规范建筑业市场</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（十四）完善建筑市场信用体系</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建立健全企业自控、社会监督、政府监管的工程质量安全保障体系，加快推进建筑业企业质量安全管理规范化、标准化建设，建立健全工程质量安全监督管理制度。把质量安全责任与政策奖励、资质资格、评先评优等方面紧密挂钩，实行“一票否决”，坚决杜绝较大质量安全事故发生。逐步建立统一的建筑市场诚信信息平台，建立建筑业企业信用档案和企业管理人员、建造师等执业人员信用档案，认真开展信用等级评价，定期向社会公布。通过资质管理、市场准入、招标投标、工程担保、表彰评优等工作环节和方式，依法对守信行为给予激励，对失信行为进行惩处。加强建设工程的监督管理，按照差别化的原则，创新建筑市场监管机制，强化建筑市场与施工现场联动监管，建立全市统一的建筑市场准入、清出机制，坚决遏制和严厉打击串标、围标、转包、挂靠、出借资质等各种建筑市场违法违规行为。</w:t>
      </w:r>
    </w:p>
    <w:p w:rsidR="007556F3" w:rsidRDefault="007556F3" w:rsidP="007556F3">
      <w:pPr>
        <w:pStyle w:val="a3"/>
        <w:numPr>
          <w:ilvl w:val="0"/>
          <w:numId w:val="2"/>
        </w:numPr>
        <w:shd w:val="clear" w:color="auto" w:fill="FFFFFF"/>
        <w:spacing w:before="0" w:beforeAutospacing="0" w:after="0" w:afterAutospacing="0"/>
        <w:ind w:left="0"/>
        <w:textAlignment w:val="center"/>
        <w:rPr>
          <w:rFonts w:ascii="微软雅黑" w:eastAsia="微软雅黑" w:hAnsi="微软雅黑" w:hint="eastAsia"/>
          <w:color w:val="333333"/>
        </w:rPr>
      </w:pPr>
      <w:r>
        <w:rPr>
          <w:rFonts w:ascii="微软雅黑" w:eastAsia="微软雅黑" w:hAnsi="微软雅黑" w:hint="eastAsia"/>
          <w:color w:val="333333"/>
        </w:rPr>
        <w:t>加强招投标和工程造价管理</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lastRenderedPageBreak/>
        <w:t>完善综合评标和合理低价评标办法，政府重大投资项目可以采用综合评估法，提倡优质优价、优质优先；其他项目提倡实行经评审的最低投标价法。禁止招标人以不合理条件限制或提高资质等级排斥潜在投标人参加投标；禁止招标人在发布招标文件时，上调或下浮工程造价咨询企业编制的最高投标限价，招标人可以在发布招标文件时明确可接受的最高投标价格；禁止在工程招标中压</w:t>
      </w:r>
      <w:proofErr w:type="gramStart"/>
      <w:r>
        <w:rPr>
          <w:rFonts w:ascii="微软雅黑" w:eastAsia="微软雅黑" w:hAnsi="微软雅黑" w:hint="eastAsia"/>
          <w:color w:val="333333"/>
        </w:rPr>
        <w:t>减安全</w:t>
      </w:r>
      <w:proofErr w:type="gramEnd"/>
      <w:r>
        <w:rPr>
          <w:rFonts w:ascii="微软雅黑" w:eastAsia="微软雅黑" w:hAnsi="微软雅黑" w:hint="eastAsia"/>
          <w:color w:val="333333"/>
        </w:rPr>
        <w:t>文明施工费等不可竞争性费用；坚决遏制和打击</w:t>
      </w:r>
      <w:proofErr w:type="gramStart"/>
      <w:r>
        <w:rPr>
          <w:rFonts w:ascii="微软雅黑" w:eastAsia="微软雅黑" w:hAnsi="微软雅黑" w:hint="eastAsia"/>
          <w:color w:val="333333"/>
        </w:rPr>
        <w:t>围标串标</w:t>
      </w:r>
      <w:proofErr w:type="gramEnd"/>
      <w:r>
        <w:rPr>
          <w:rFonts w:ascii="微软雅黑" w:eastAsia="微软雅黑" w:hAnsi="微软雅黑" w:hint="eastAsia"/>
          <w:color w:val="333333"/>
        </w:rPr>
        <w:t>、转包、挂靠和低于成本价报价等违法违规行为。</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外地企业在我市承建项目时，应有固定办公场所和固定办公人员；鼓励其在明光市注册设立子公司，并办理税务登记。项目经理、项目总监等关键岗位人员，原则上不得变更，确因法定情形出现需变更的，严格按照相关规定履行变更手续。变更的项目经理、项目总监等关键岗位人员应满足工程建设的需要，变更后的项目经理、项目总监或项目班子成员在资质、资格、业绩等方面，不得低于被更换人员的资质、资格、业绩，并经建设单位同意，招投标监督管理部门、建设主管部门备案。</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建立以市场为导向的工程造价机制，规范市场计价行为，维护各方合法利益。推行工程量清单计价办法，建立最高投标限价及其成果文件和竣工结算文件备案制度。推广工程造价信息化建设，建立典型工程造价指标数据库，及时发布建设工程人、材、机等价格信息。加强建设工程施工合同备案和履约管理，合理控制工程造价和工期。</w:t>
      </w:r>
    </w:p>
    <w:p w:rsidR="007556F3" w:rsidRDefault="007556F3" w:rsidP="007556F3">
      <w:pPr>
        <w:pStyle w:val="a3"/>
        <w:numPr>
          <w:ilvl w:val="0"/>
          <w:numId w:val="2"/>
        </w:numPr>
        <w:shd w:val="clear" w:color="auto" w:fill="FFFFFF"/>
        <w:spacing w:before="0" w:beforeAutospacing="0" w:after="0" w:afterAutospacing="0"/>
        <w:ind w:left="0"/>
        <w:textAlignment w:val="center"/>
        <w:rPr>
          <w:rFonts w:ascii="微软雅黑" w:eastAsia="微软雅黑" w:hAnsi="微软雅黑" w:hint="eastAsia"/>
          <w:color w:val="333333"/>
        </w:rPr>
      </w:pPr>
      <w:r>
        <w:rPr>
          <w:rFonts w:ascii="微软雅黑" w:eastAsia="微软雅黑" w:hAnsi="微软雅黑" w:hint="eastAsia"/>
          <w:color w:val="333333"/>
        </w:rPr>
        <w:t>强化工程质量安全生产监管</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严格落实建设、勘察、设计、施工、监理等主体责任，加强对施工图设计文件审查机构和检测机构的管理，健全工程质量终身负责制和关键岗位带班制度，</w:t>
      </w:r>
      <w:r>
        <w:rPr>
          <w:rFonts w:ascii="微软雅黑" w:eastAsia="微软雅黑" w:hAnsi="微软雅黑" w:hint="eastAsia"/>
          <w:color w:val="333333"/>
        </w:rPr>
        <w:lastRenderedPageBreak/>
        <w:t>规范执业资格人员从业行为，确保工程质量安全。加快施工现场重大危险源数字化监管系统和施工现场关键岗位人员考核系统建设，强化监管能力，提高监管效能。</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五、附则</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（一）本意见扶持的对象是指明光市独立法人的建筑业企业。由市财政设立扶持建筑业专项资金。</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（二）建筑业企业发生质量、安全生产事故被一票否决的，当年不予表彰扶持。</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（三）本意见与我市出台的其它政策不重复享受。</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（四）</w:t>
      </w:r>
      <w:proofErr w:type="gramStart"/>
      <w:r>
        <w:rPr>
          <w:rFonts w:ascii="微软雅黑" w:eastAsia="微软雅黑" w:hAnsi="微软雅黑" w:hint="eastAsia"/>
          <w:color w:val="333333"/>
        </w:rPr>
        <w:t>本意见自2017年10月1日起</w:t>
      </w:r>
      <w:proofErr w:type="gramEnd"/>
      <w:r>
        <w:rPr>
          <w:rFonts w:ascii="微软雅黑" w:eastAsia="微软雅黑" w:hAnsi="微软雅黑" w:hint="eastAsia"/>
          <w:color w:val="333333"/>
        </w:rPr>
        <w:t>开始执行，暂定二年。</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 </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 </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 </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 </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                                                                                                        2017年10月23日</w:t>
      </w:r>
    </w:p>
    <w:p w:rsidR="007556F3" w:rsidRDefault="007556F3" w:rsidP="007556F3">
      <w:pPr>
        <w:pStyle w:val="a3"/>
        <w:shd w:val="clear" w:color="auto" w:fill="FFFFFF"/>
        <w:spacing w:before="0" w:beforeAutospacing="0" w:after="0" w:afterAutospacing="0"/>
        <w:textAlignment w:val="center"/>
        <w:rPr>
          <w:rFonts w:ascii="微软雅黑" w:eastAsia="微软雅黑" w:hAnsi="微软雅黑" w:hint="eastAsia"/>
          <w:color w:val="333333"/>
        </w:rPr>
      </w:pPr>
      <w:r>
        <w:rPr>
          <w:rFonts w:ascii="微软雅黑" w:eastAsia="微软雅黑" w:hAnsi="微软雅黑" w:hint="eastAsia"/>
          <w:color w:val="333333"/>
        </w:rPr>
        <w:t> </w:t>
      </w:r>
    </w:p>
    <w:p w:rsidR="00D852C9" w:rsidRDefault="00D852C9">
      <w:bookmarkStart w:id="0" w:name="_GoBack"/>
      <w:bookmarkEnd w:id="0"/>
    </w:p>
    <w:sectPr w:rsidR="00D852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00F01"/>
    <w:multiLevelType w:val="multilevel"/>
    <w:tmpl w:val="946C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15499C"/>
    <w:multiLevelType w:val="multilevel"/>
    <w:tmpl w:val="34B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CA"/>
    <w:rsid w:val="007556F3"/>
    <w:rsid w:val="007E77CA"/>
    <w:rsid w:val="00D8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0CC00-2774-4AE6-A60D-3E000F98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6F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3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2018-05-11T06:19:00Z</dcterms:created>
  <dcterms:modified xsi:type="dcterms:W3CDTF">2018-05-11T06:19:00Z</dcterms:modified>
</cp:coreProperties>
</file>