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C9E" w:rsidRPr="00756C9E" w:rsidRDefault="00756C9E" w:rsidP="00756C9E">
      <w:pPr>
        <w:widowControl/>
        <w:shd w:val="clear" w:color="auto" w:fill="F1F1F1"/>
        <w:spacing w:before="225" w:line="1035" w:lineRule="atLeast"/>
        <w:jc w:val="center"/>
        <w:outlineLvl w:val="1"/>
        <w:rPr>
          <w:rFonts w:ascii="微软雅黑" w:eastAsia="微软雅黑" w:hAnsi="微软雅黑" w:cs="宋体"/>
          <w:color w:val="333333"/>
          <w:kern w:val="0"/>
          <w:sz w:val="30"/>
          <w:szCs w:val="30"/>
        </w:rPr>
      </w:pPr>
      <w:r w:rsidRPr="00756C9E">
        <w:rPr>
          <w:rFonts w:ascii="微软雅黑" w:eastAsia="微软雅黑" w:hAnsi="微软雅黑" w:cs="宋体" w:hint="eastAsia"/>
          <w:color w:val="333333"/>
          <w:kern w:val="0"/>
          <w:sz w:val="30"/>
          <w:szCs w:val="30"/>
        </w:rPr>
        <w:t>赤峰市中蒙药材种植科技示范基地管理办法 （试行）</w:t>
      </w:r>
    </w:p>
    <w:p w:rsidR="00756C9E" w:rsidRPr="00756C9E" w:rsidRDefault="00756C9E" w:rsidP="00756C9E">
      <w:pPr>
        <w:widowControl/>
        <w:shd w:val="clear" w:color="auto" w:fill="F1F1F1"/>
        <w:spacing w:line="240" w:lineRule="auto"/>
        <w:jc w:val="left"/>
        <w:rPr>
          <w:rFonts w:ascii="微软雅黑" w:eastAsia="微软雅黑" w:hAnsi="微软雅黑" w:cs="宋体" w:hint="eastAsia"/>
          <w:color w:val="333333"/>
          <w:kern w:val="0"/>
          <w:sz w:val="21"/>
          <w:szCs w:val="21"/>
        </w:rPr>
      </w:pPr>
      <w:r w:rsidRPr="00756C9E">
        <w:rPr>
          <w:rFonts w:ascii="微软雅黑" w:eastAsia="微软雅黑" w:hAnsi="微软雅黑" w:cs="宋体" w:hint="eastAsia"/>
          <w:color w:val="666666"/>
          <w:kern w:val="0"/>
          <w:sz w:val="21"/>
          <w:szCs w:val="21"/>
          <w:bdr w:val="none" w:sz="0" w:space="0" w:color="auto" w:frame="1"/>
        </w:rPr>
        <w:t> 2016-01-06</w:t>
      </w:r>
      <w:r w:rsidRPr="00756C9E">
        <w:rPr>
          <w:rFonts w:ascii="微软雅黑" w:eastAsia="微软雅黑" w:hAnsi="微软雅黑" w:cs="宋体" w:hint="eastAsia"/>
          <w:color w:val="333333"/>
          <w:kern w:val="0"/>
          <w:sz w:val="21"/>
          <w:szCs w:val="21"/>
        </w:rPr>
        <w:t> </w:t>
      </w:r>
    </w:p>
    <w:p w:rsidR="00756C9E" w:rsidRPr="00756C9E" w:rsidRDefault="00756C9E" w:rsidP="00756C9E">
      <w:pPr>
        <w:widowControl/>
        <w:shd w:val="clear" w:color="auto" w:fill="F1F1F1"/>
        <w:spacing w:line="525" w:lineRule="atLeast"/>
        <w:ind w:firstLine="2850"/>
        <w:jc w:val="left"/>
        <w:rPr>
          <w:rFonts w:ascii="宋体" w:eastAsia="宋体" w:hAnsi="宋体" w:cs="宋体" w:hint="eastAsia"/>
          <w:color w:val="333333"/>
          <w:kern w:val="0"/>
          <w:sz w:val="21"/>
          <w:szCs w:val="21"/>
        </w:rPr>
      </w:pPr>
      <w:r w:rsidRPr="00756C9E">
        <w:rPr>
          <w:rFonts w:ascii="黑体" w:eastAsia="黑体" w:hAnsi="黑体" w:cs="宋体" w:hint="eastAsia"/>
          <w:color w:val="333333"/>
          <w:kern w:val="0"/>
          <w:sz w:val="30"/>
          <w:szCs w:val="30"/>
          <w:bdr w:val="none" w:sz="0" w:space="0" w:color="auto" w:frame="1"/>
        </w:rPr>
        <w:t>第一章</w:t>
      </w:r>
      <w:r w:rsidRPr="00756C9E">
        <w:rPr>
          <w:rFonts w:ascii="Calibri" w:eastAsia="黑体" w:hAnsi="Calibri" w:cs="Calibri"/>
          <w:color w:val="333333"/>
          <w:kern w:val="0"/>
          <w:sz w:val="30"/>
          <w:szCs w:val="30"/>
          <w:bdr w:val="none" w:sz="0" w:space="0" w:color="auto" w:frame="1"/>
        </w:rPr>
        <w:t>  </w:t>
      </w:r>
      <w:r w:rsidRPr="00756C9E">
        <w:rPr>
          <w:rFonts w:ascii="黑体" w:eastAsia="黑体" w:hAnsi="黑体" w:cs="宋体" w:hint="eastAsia"/>
          <w:color w:val="333333"/>
          <w:kern w:val="0"/>
          <w:sz w:val="30"/>
          <w:szCs w:val="30"/>
          <w:bdr w:val="none" w:sz="0" w:space="0" w:color="auto" w:frame="1"/>
        </w:rPr>
        <w:t>总</w:t>
      </w:r>
      <w:r w:rsidRPr="00756C9E">
        <w:rPr>
          <w:rFonts w:ascii="Calibri" w:eastAsia="黑体" w:hAnsi="Calibri" w:cs="Calibri"/>
          <w:color w:val="333333"/>
          <w:kern w:val="0"/>
          <w:sz w:val="30"/>
          <w:szCs w:val="30"/>
          <w:bdr w:val="none" w:sz="0" w:space="0" w:color="auto" w:frame="1"/>
        </w:rPr>
        <w:t>  </w:t>
      </w:r>
      <w:r w:rsidRPr="00756C9E">
        <w:rPr>
          <w:rFonts w:ascii="黑体" w:eastAsia="黑体" w:hAnsi="黑体" w:cs="宋体" w:hint="eastAsia"/>
          <w:color w:val="333333"/>
          <w:kern w:val="0"/>
          <w:sz w:val="30"/>
          <w:szCs w:val="30"/>
          <w:bdr w:val="none" w:sz="0" w:space="0" w:color="auto" w:frame="1"/>
        </w:rPr>
        <w:t>则</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第一条：</w:t>
      </w:r>
      <w:r w:rsidRPr="00756C9E">
        <w:rPr>
          <w:rFonts w:ascii="仿宋_GB2312" w:eastAsia="仿宋_GB2312" w:hAnsi="宋体" w:cs="宋体" w:hint="eastAsia"/>
          <w:color w:val="333333"/>
          <w:kern w:val="0"/>
          <w:sz w:val="28"/>
          <w:szCs w:val="28"/>
          <w:bdr w:val="none" w:sz="0" w:space="0" w:color="auto" w:frame="1"/>
        </w:rPr>
        <w:t>根据国家科技部《中药现代化科技产业基地管理办法（试行）》和自治区科技厅《内蒙古中蒙药材种植科技示范基地管理办法（试行）》，为加强赤峰市中蒙药材种植科技示范基地的建设和管理，特制定本办法。</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第二条：</w:t>
      </w:r>
      <w:r w:rsidRPr="00756C9E">
        <w:rPr>
          <w:rFonts w:ascii="仿宋_GB2312" w:eastAsia="仿宋_GB2312" w:hAnsi="宋体" w:cs="宋体" w:hint="eastAsia"/>
          <w:color w:val="333333"/>
          <w:kern w:val="0"/>
          <w:sz w:val="28"/>
          <w:szCs w:val="28"/>
          <w:bdr w:val="none" w:sz="0" w:space="0" w:color="auto" w:frame="1"/>
        </w:rPr>
        <w:t>本办法所称示范基地是指由企业、协会或其他组织建设完成、符合示范基地认定条件并经赤峰市科技局组织专家论证、批复的中蒙药材种植产业基地。</w:t>
      </w:r>
    </w:p>
    <w:p w:rsidR="00756C9E" w:rsidRPr="00756C9E" w:rsidRDefault="00756C9E" w:rsidP="00756C9E">
      <w:pPr>
        <w:widowControl/>
        <w:shd w:val="clear" w:color="auto" w:fill="F1F1F1"/>
        <w:spacing w:line="525" w:lineRule="atLeast"/>
        <w:ind w:firstLine="2850"/>
        <w:jc w:val="left"/>
        <w:rPr>
          <w:rFonts w:ascii="宋体" w:eastAsia="宋体" w:hAnsi="宋体" w:cs="宋体" w:hint="eastAsia"/>
          <w:color w:val="333333"/>
          <w:kern w:val="0"/>
          <w:sz w:val="21"/>
          <w:szCs w:val="21"/>
        </w:rPr>
      </w:pPr>
      <w:r w:rsidRPr="00756C9E">
        <w:rPr>
          <w:rFonts w:ascii="黑体" w:eastAsia="黑体" w:hAnsi="黑体" w:cs="宋体" w:hint="eastAsia"/>
          <w:color w:val="333333"/>
          <w:kern w:val="0"/>
          <w:sz w:val="30"/>
          <w:szCs w:val="30"/>
          <w:bdr w:val="none" w:sz="0" w:space="0" w:color="auto" w:frame="1"/>
        </w:rPr>
        <w:t>第二章</w:t>
      </w:r>
      <w:r w:rsidRPr="00756C9E">
        <w:rPr>
          <w:rFonts w:ascii="Calibri" w:eastAsia="黑体" w:hAnsi="Calibri" w:cs="Calibri"/>
          <w:color w:val="333333"/>
          <w:kern w:val="0"/>
          <w:sz w:val="30"/>
          <w:szCs w:val="30"/>
          <w:bdr w:val="none" w:sz="0" w:space="0" w:color="auto" w:frame="1"/>
        </w:rPr>
        <w:t>  </w:t>
      </w:r>
      <w:r w:rsidRPr="00756C9E">
        <w:rPr>
          <w:rFonts w:ascii="黑体" w:eastAsia="黑体" w:hAnsi="黑体" w:cs="宋体" w:hint="eastAsia"/>
          <w:color w:val="333333"/>
          <w:kern w:val="0"/>
          <w:sz w:val="30"/>
          <w:szCs w:val="30"/>
          <w:bdr w:val="none" w:sz="0" w:space="0" w:color="auto" w:frame="1"/>
        </w:rPr>
        <w:t>组织机构</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第三条：</w:t>
      </w:r>
      <w:r w:rsidRPr="00756C9E">
        <w:rPr>
          <w:rFonts w:ascii="仿宋_GB2312" w:eastAsia="仿宋_GB2312" w:hAnsi="宋体" w:cs="宋体" w:hint="eastAsia"/>
          <w:color w:val="333333"/>
          <w:kern w:val="0"/>
          <w:sz w:val="28"/>
          <w:szCs w:val="28"/>
          <w:bdr w:val="none" w:sz="0" w:space="0" w:color="auto" w:frame="1"/>
        </w:rPr>
        <w:t>组织管理机构及职责</w:t>
      </w:r>
    </w:p>
    <w:p w:rsidR="00756C9E" w:rsidRPr="00756C9E" w:rsidRDefault="00756C9E" w:rsidP="00756C9E">
      <w:pPr>
        <w:widowControl/>
        <w:shd w:val="clear" w:color="auto" w:fill="F1F1F1"/>
        <w:spacing w:line="525" w:lineRule="atLeast"/>
        <w:ind w:firstLine="560"/>
        <w:jc w:val="left"/>
        <w:rPr>
          <w:rFonts w:ascii="宋体" w:eastAsia="宋体" w:hAnsi="宋体" w:cs="宋体" w:hint="eastAsia"/>
          <w:color w:val="333333"/>
          <w:kern w:val="0"/>
          <w:sz w:val="21"/>
          <w:szCs w:val="21"/>
        </w:rPr>
      </w:pPr>
      <w:r w:rsidRPr="00756C9E">
        <w:rPr>
          <w:rFonts w:ascii="仿宋_GB2312" w:eastAsia="仿宋_GB2312" w:hAnsi="宋体" w:cs="宋体" w:hint="eastAsia"/>
          <w:color w:val="333333"/>
          <w:kern w:val="0"/>
          <w:sz w:val="28"/>
          <w:szCs w:val="28"/>
          <w:bdr w:val="none" w:sz="0" w:space="0" w:color="auto" w:frame="1"/>
        </w:rPr>
        <w:t>1、由赤峰市科技局主要负责基地的评审、检查、考核等工作，办公室设在赤峰市科技局社会发展科。</w:t>
      </w:r>
    </w:p>
    <w:p w:rsidR="00756C9E" w:rsidRPr="00756C9E" w:rsidRDefault="00756C9E" w:rsidP="00756C9E">
      <w:pPr>
        <w:widowControl/>
        <w:shd w:val="clear" w:color="auto" w:fill="F1F1F1"/>
        <w:spacing w:line="525" w:lineRule="atLeast"/>
        <w:ind w:firstLine="560"/>
        <w:jc w:val="left"/>
        <w:rPr>
          <w:rFonts w:ascii="宋体" w:eastAsia="宋体" w:hAnsi="宋体" w:cs="宋体" w:hint="eastAsia"/>
          <w:color w:val="333333"/>
          <w:kern w:val="0"/>
          <w:sz w:val="21"/>
          <w:szCs w:val="21"/>
        </w:rPr>
      </w:pPr>
      <w:r w:rsidRPr="00756C9E">
        <w:rPr>
          <w:rFonts w:ascii="仿宋_GB2312" w:eastAsia="仿宋_GB2312" w:hAnsi="宋体" w:cs="宋体" w:hint="eastAsia"/>
          <w:color w:val="333333"/>
          <w:kern w:val="0"/>
          <w:sz w:val="28"/>
          <w:szCs w:val="28"/>
          <w:bdr w:val="none" w:sz="0" w:space="0" w:color="auto" w:frame="1"/>
        </w:rPr>
        <w:t>2、各旗县区科技局在市科技局的指导下，负责本辖区示范基地的组织与管理。</w:t>
      </w:r>
    </w:p>
    <w:p w:rsidR="00756C9E" w:rsidRPr="00756C9E" w:rsidRDefault="00756C9E" w:rsidP="00756C9E">
      <w:pPr>
        <w:widowControl/>
        <w:shd w:val="clear" w:color="auto" w:fill="F1F1F1"/>
        <w:spacing w:line="525" w:lineRule="atLeast"/>
        <w:ind w:firstLine="2850"/>
        <w:jc w:val="left"/>
        <w:rPr>
          <w:rFonts w:ascii="宋体" w:eastAsia="宋体" w:hAnsi="宋体" w:cs="宋体" w:hint="eastAsia"/>
          <w:color w:val="333333"/>
          <w:kern w:val="0"/>
          <w:sz w:val="21"/>
          <w:szCs w:val="21"/>
        </w:rPr>
      </w:pPr>
      <w:r w:rsidRPr="00756C9E">
        <w:rPr>
          <w:rFonts w:ascii="黑体" w:eastAsia="黑体" w:hAnsi="黑体" w:cs="宋体" w:hint="eastAsia"/>
          <w:color w:val="333333"/>
          <w:kern w:val="0"/>
          <w:sz w:val="30"/>
          <w:szCs w:val="30"/>
          <w:bdr w:val="none" w:sz="0" w:space="0" w:color="auto" w:frame="1"/>
        </w:rPr>
        <w:t>第三章</w:t>
      </w:r>
      <w:r w:rsidRPr="00756C9E">
        <w:rPr>
          <w:rFonts w:ascii="Calibri" w:eastAsia="黑体" w:hAnsi="Calibri" w:cs="Calibri"/>
          <w:color w:val="333333"/>
          <w:kern w:val="0"/>
          <w:sz w:val="30"/>
          <w:szCs w:val="30"/>
          <w:bdr w:val="none" w:sz="0" w:space="0" w:color="auto" w:frame="1"/>
        </w:rPr>
        <w:t>  </w:t>
      </w:r>
      <w:r w:rsidRPr="00756C9E">
        <w:rPr>
          <w:rFonts w:ascii="黑体" w:eastAsia="黑体" w:hAnsi="黑体" w:cs="宋体" w:hint="eastAsia"/>
          <w:color w:val="333333"/>
          <w:kern w:val="0"/>
          <w:sz w:val="30"/>
          <w:szCs w:val="30"/>
          <w:bdr w:val="none" w:sz="0" w:space="0" w:color="auto" w:frame="1"/>
        </w:rPr>
        <w:t>示范基地的认定条件</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第四条：</w:t>
      </w:r>
      <w:r w:rsidRPr="00756C9E">
        <w:rPr>
          <w:rFonts w:ascii="仿宋_GB2312" w:eastAsia="仿宋_GB2312" w:hAnsi="宋体" w:cs="宋体" w:hint="eastAsia"/>
          <w:color w:val="333333"/>
          <w:kern w:val="0"/>
          <w:sz w:val="28"/>
          <w:szCs w:val="28"/>
          <w:bdr w:val="none" w:sz="0" w:space="0" w:color="auto" w:frame="1"/>
        </w:rPr>
        <w:t>申报单位应是登记注册的独立经济实体，有规范健全的生产、科研、技术、质量、财务管理制度。</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第五条：</w:t>
      </w:r>
      <w:r w:rsidRPr="00756C9E">
        <w:rPr>
          <w:rFonts w:ascii="仿宋_GB2312" w:eastAsia="仿宋_GB2312" w:hAnsi="宋体" w:cs="宋体" w:hint="eastAsia"/>
          <w:color w:val="333333"/>
          <w:kern w:val="0"/>
          <w:sz w:val="28"/>
          <w:szCs w:val="28"/>
          <w:bdr w:val="none" w:sz="0" w:space="0" w:color="auto" w:frame="1"/>
        </w:rPr>
        <w:t>基地建设规划区域内，生态环境优良，土壤、水质、大气无污染，所选药材品种处于其最佳适生地带，属自治区优质、</w:t>
      </w:r>
      <w:r w:rsidRPr="00756C9E">
        <w:rPr>
          <w:rFonts w:ascii="仿宋_GB2312" w:eastAsia="仿宋_GB2312" w:hAnsi="宋体" w:cs="宋体" w:hint="eastAsia"/>
          <w:color w:val="333333"/>
          <w:kern w:val="0"/>
          <w:sz w:val="28"/>
          <w:szCs w:val="28"/>
          <w:bdr w:val="none" w:sz="0" w:space="0" w:color="auto" w:frame="1"/>
        </w:rPr>
        <w:lastRenderedPageBreak/>
        <w:t>特色、道地中蒙药材资源，主要药材品种已经有相当的种植规模，其产量、质量在国内有一定的特色和优势。</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第六条：</w:t>
      </w:r>
      <w:r w:rsidRPr="00756C9E">
        <w:rPr>
          <w:rFonts w:ascii="仿宋_GB2312" w:eastAsia="仿宋_GB2312" w:hAnsi="宋体" w:cs="宋体" w:hint="eastAsia"/>
          <w:color w:val="333333"/>
          <w:kern w:val="0"/>
          <w:sz w:val="28"/>
          <w:szCs w:val="28"/>
          <w:bdr w:val="none" w:sz="0" w:space="0" w:color="auto" w:frame="1"/>
        </w:rPr>
        <w:t>具有较长的种植历史和较成熟的育种、栽培、采收和加工技术，有规范化种植研究等前期工作基础。</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第七条：</w:t>
      </w:r>
      <w:r w:rsidRPr="00756C9E">
        <w:rPr>
          <w:rFonts w:ascii="仿宋_GB2312" w:eastAsia="仿宋_GB2312" w:hAnsi="宋体" w:cs="宋体" w:hint="eastAsia"/>
          <w:color w:val="333333"/>
          <w:kern w:val="0"/>
          <w:sz w:val="28"/>
          <w:szCs w:val="28"/>
          <w:bdr w:val="none" w:sz="0" w:space="0" w:color="auto" w:frame="1"/>
        </w:rPr>
        <w:t>示范基地建设单位的中蒙药材或药材提取物产品产值应占其销售收入的40%以上，中蒙药材种植产业规模在1000亩以上。</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第八条：</w:t>
      </w:r>
      <w:r w:rsidRPr="00756C9E">
        <w:rPr>
          <w:rFonts w:ascii="仿宋_GB2312" w:eastAsia="仿宋_GB2312" w:hAnsi="宋体" w:cs="宋体" w:hint="eastAsia"/>
          <w:color w:val="333333"/>
          <w:kern w:val="0"/>
          <w:sz w:val="28"/>
          <w:szCs w:val="28"/>
          <w:bdr w:val="none" w:sz="0" w:space="0" w:color="auto" w:frame="1"/>
        </w:rPr>
        <w:t>示范基地建设单位直接参与研究与开发人员占职工总数10%以上，每年用于研究与开发的经费占年销售收入5%以上，高新技术产品应拥有自主知识产权。</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第九条：</w:t>
      </w:r>
      <w:r w:rsidRPr="00756C9E">
        <w:rPr>
          <w:rFonts w:ascii="仿宋_GB2312" w:eastAsia="仿宋_GB2312" w:hAnsi="宋体" w:cs="宋体" w:hint="eastAsia"/>
          <w:color w:val="333333"/>
          <w:kern w:val="0"/>
          <w:sz w:val="28"/>
          <w:szCs w:val="28"/>
          <w:bdr w:val="none" w:sz="0" w:space="0" w:color="auto" w:frame="1"/>
        </w:rPr>
        <w:t>示范基地以企业或公司为主体，以大学和科研单位为技术依托，开展产学研合作，推行“公司+基地+农户”等组织模式，实行中蒙药材“订单种植”和认证制度，确保药材质量和稳定的销售渠道，形成品牌优势。</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第十条：</w:t>
      </w:r>
      <w:r w:rsidRPr="00756C9E">
        <w:rPr>
          <w:rFonts w:ascii="仿宋_GB2312" w:eastAsia="仿宋_GB2312" w:hAnsi="宋体" w:cs="宋体" w:hint="eastAsia"/>
          <w:color w:val="333333"/>
          <w:kern w:val="0"/>
          <w:sz w:val="28"/>
          <w:szCs w:val="28"/>
          <w:bdr w:val="none" w:sz="0" w:space="0" w:color="auto" w:frame="1"/>
        </w:rPr>
        <w:t>在研究开发方面能够开展药材品种的规范化种植研究，制定出各药材品种的标准操作规程（SOP）和药材质量标准。</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第十一条：</w:t>
      </w:r>
      <w:r w:rsidRPr="00756C9E">
        <w:rPr>
          <w:rFonts w:ascii="仿宋_GB2312" w:eastAsia="仿宋_GB2312" w:hAnsi="宋体" w:cs="宋体" w:hint="eastAsia"/>
          <w:color w:val="333333"/>
          <w:kern w:val="0"/>
          <w:sz w:val="28"/>
          <w:szCs w:val="28"/>
          <w:bdr w:val="none" w:sz="0" w:space="0" w:color="auto" w:frame="1"/>
        </w:rPr>
        <w:t>示范基地建设单位管理制度完善，服务设施齐备，能够成为大学和科研单位的教学研究基地。能够为科技特派员创业和农民生产提供信息、技术等方面的指导和服务。</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第十二条：</w:t>
      </w:r>
      <w:r w:rsidRPr="00756C9E">
        <w:rPr>
          <w:rFonts w:ascii="仿宋_GB2312" w:eastAsia="仿宋_GB2312" w:hAnsi="宋体" w:cs="宋体" w:hint="eastAsia"/>
          <w:color w:val="333333"/>
          <w:kern w:val="0"/>
          <w:sz w:val="28"/>
          <w:szCs w:val="28"/>
          <w:bdr w:val="none" w:sz="0" w:space="0" w:color="auto" w:frame="1"/>
        </w:rPr>
        <w:t>示范基地在研究、开发和生产过程中，有严格的防治污染的措施及相应设备，“三废”排放符合国家规定的标准。</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lastRenderedPageBreak/>
        <w:t>第十三条：</w:t>
      </w:r>
      <w:r w:rsidRPr="00756C9E">
        <w:rPr>
          <w:rFonts w:ascii="仿宋_GB2312" w:eastAsia="仿宋_GB2312" w:hAnsi="宋体" w:cs="宋体" w:hint="eastAsia"/>
          <w:color w:val="333333"/>
          <w:kern w:val="0"/>
          <w:sz w:val="28"/>
          <w:szCs w:val="28"/>
          <w:bdr w:val="none" w:sz="0" w:space="0" w:color="auto" w:frame="1"/>
        </w:rPr>
        <w:t>基地所在地区政府对中蒙药材种资源开发利用与保护高度重视，并将药材种植基地建设作为当地农业产业结构调整的重点，制定相应政策与保障措施。</w:t>
      </w:r>
    </w:p>
    <w:p w:rsidR="00756C9E" w:rsidRPr="00756C9E" w:rsidRDefault="00756C9E" w:rsidP="00756C9E">
      <w:pPr>
        <w:widowControl/>
        <w:shd w:val="clear" w:color="auto" w:fill="F1F1F1"/>
        <w:spacing w:line="525" w:lineRule="atLeast"/>
        <w:ind w:firstLine="2850"/>
        <w:jc w:val="left"/>
        <w:rPr>
          <w:rFonts w:ascii="宋体" w:eastAsia="宋体" w:hAnsi="宋体" w:cs="宋体" w:hint="eastAsia"/>
          <w:color w:val="333333"/>
          <w:kern w:val="0"/>
          <w:sz w:val="21"/>
          <w:szCs w:val="21"/>
        </w:rPr>
      </w:pPr>
      <w:r w:rsidRPr="00756C9E">
        <w:rPr>
          <w:rFonts w:ascii="黑体" w:eastAsia="黑体" w:hAnsi="黑体" w:cs="宋体" w:hint="eastAsia"/>
          <w:color w:val="333333"/>
          <w:kern w:val="0"/>
          <w:sz w:val="30"/>
          <w:szCs w:val="30"/>
          <w:bdr w:val="none" w:sz="0" w:space="0" w:color="auto" w:frame="1"/>
        </w:rPr>
        <w:t>第四章</w:t>
      </w:r>
      <w:r w:rsidRPr="00756C9E">
        <w:rPr>
          <w:rFonts w:ascii="Calibri" w:eastAsia="黑体" w:hAnsi="Calibri" w:cs="Calibri"/>
          <w:color w:val="333333"/>
          <w:kern w:val="0"/>
          <w:sz w:val="30"/>
          <w:szCs w:val="30"/>
          <w:bdr w:val="none" w:sz="0" w:space="0" w:color="auto" w:frame="1"/>
        </w:rPr>
        <w:t>  </w:t>
      </w:r>
      <w:r w:rsidRPr="00756C9E">
        <w:rPr>
          <w:rFonts w:ascii="黑体" w:eastAsia="黑体" w:hAnsi="黑体" w:cs="宋体" w:hint="eastAsia"/>
          <w:color w:val="333333"/>
          <w:kern w:val="0"/>
          <w:sz w:val="30"/>
          <w:szCs w:val="30"/>
          <w:bdr w:val="none" w:sz="0" w:space="0" w:color="auto" w:frame="1"/>
        </w:rPr>
        <w:t>申报与审批</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第十四条：</w:t>
      </w:r>
      <w:r w:rsidRPr="00756C9E">
        <w:rPr>
          <w:rFonts w:ascii="宋体" w:eastAsia="宋体" w:hAnsi="宋体" w:cs="宋体" w:hint="eastAsia"/>
          <w:color w:val="333333"/>
          <w:kern w:val="0"/>
          <w:szCs w:val="24"/>
          <w:bdr w:val="none" w:sz="0" w:space="0" w:color="auto" w:frame="1"/>
        </w:rPr>
        <w:t> </w:t>
      </w:r>
      <w:r w:rsidRPr="00756C9E">
        <w:rPr>
          <w:rFonts w:ascii="仿宋_GB2312" w:eastAsia="仿宋_GB2312" w:hAnsi="宋体" w:cs="宋体" w:hint="eastAsia"/>
          <w:color w:val="333333"/>
          <w:kern w:val="0"/>
          <w:sz w:val="28"/>
          <w:szCs w:val="28"/>
          <w:bdr w:val="none" w:sz="0" w:space="0" w:color="auto" w:frame="1"/>
        </w:rPr>
        <w:t>示范基地建设单位提交《赤峰市中蒙药材种植科技示范基地申报书》向旗县区科技局提出申请；</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第十五条：</w:t>
      </w:r>
      <w:r w:rsidRPr="00756C9E">
        <w:rPr>
          <w:rFonts w:ascii="仿宋_GB2312" w:eastAsia="仿宋_GB2312" w:hAnsi="宋体" w:cs="宋体" w:hint="eastAsia"/>
          <w:color w:val="333333"/>
          <w:kern w:val="0"/>
          <w:sz w:val="28"/>
          <w:szCs w:val="28"/>
          <w:bdr w:val="none" w:sz="0" w:space="0" w:color="auto" w:frame="1"/>
        </w:rPr>
        <w:t>旗县区科技局初审、签署意见后报赤峰市科技局。</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第十六条：</w:t>
      </w:r>
      <w:r w:rsidRPr="00756C9E">
        <w:rPr>
          <w:rFonts w:ascii="仿宋_GB2312" w:eastAsia="仿宋_GB2312" w:hAnsi="宋体" w:cs="宋体" w:hint="eastAsia"/>
          <w:color w:val="333333"/>
          <w:kern w:val="0"/>
          <w:sz w:val="28"/>
          <w:szCs w:val="28"/>
          <w:bdr w:val="none" w:sz="0" w:space="0" w:color="auto" w:frame="1"/>
        </w:rPr>
        <w:t>赤峰市科技局组织专家进行考察评审，提出考察评价意见。</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第十七条：</w:t>
      </w:r>
      <w:r w:rsidRPr="00756C9E">
        <w:rPr>
          <w:rFonts w:ascii="宋体" w:eastAsia="宋体" w:hAnsi="宋体" w:cs="宋体" w:hint="eastAsia"/>
          <w:color w:val="333333"/>
          <w:kern w:val="0"/>
          <w:szCs w:val="24"/>
          <w:bdr w:val="none" w:sz="0" w:space="0" w:color="auto" w:frame="1"/>
        </w:rPr>
        <w:t> </w:t>
      </w:r>
      <w:r w:rsidRPr="00756C9E">
        <w:rPr>
          <w:rFonts w:ascii="仿宋_GB2312" w:eastAsia="仿宋_GB2312" w:hAnsi="宋体" w:cs="宋体" w:hint="eastAsia"/>
          <w:color w:val="333333"/>
          <w:kern w:val="0"/>
          <w:sz w:val="28"/>
          <w:szCs w:val="28"/>
          <w:bdr w:val="none" w:sz="0" w:space="0" w:color="auto" w:frame="1"/>
        </w:rPr>
        <w:t>对通过专家会议评审的中蒙药材种植产业基地由赤峰市科技局审核批准，下达批准文件，认定为“赤峰市中蒙药材种植科技示范基地”。</w:t>
      </w:r>
    </w:p>
    <w:p w:rsidR="00756C9E" w:rsidRPr="00756C9E" w:rsidRDefault="00756C9E" w:rsidP="00756C9E">
      <w:pPr>
        <w:widowControl/>
        <w:shd w:val="clear" w:color="auto" w:fill="F1F1F1"/>
        <w:spacing w:line="525" w:lineRule="atLeast"/>
        <w:ind w:firstLine="2850"/>
        <w:jc w:val="left"/>
        <w:rPr>
          <w:rFonts w:ascii="宋体" w:eastAsia="宋体" w:hAnsi="宋体" w:cs="宋体" w:hint="eastAsia"/>
          <w:color w:val="333333"/>
          <w:kern w:val="0"/>
          <w:sz w:val="21"/>
          <w:szCs w:val="21"/>
        </w:rPr>
      </w:pPr>
      <w:r w:rsidRPr="00756C9E">
        <w:rPr>
          <w:rFonts w:ascii="黑体" w:eastAsia="黑体" w:hAnsi="黑体" w:cs="宋体" w:hint="eastAsia"/>
          <w:color w:val="333333"/>
          <w:kern w:val="0"/>
          <w:sz w:val="30"/>
          <w:szCs w:val="30"/>
          <w:bdr w:val="none" w:sz="0" w:space="0" w:color="auto" w:frame="1"/>
        </w:rPr>
        <w:t>第五章</w:t>
      </w:r>
      <w:r w:rsidRPr="00756C9E">
        <w:rPr>
          <w:rFonts w:ascii="Calibri" w:eastAsia="黑体" w:hAnsi="Calibri" w:cs="Calibri"/>
          <w:color w:val="333333"/>
          <w:kern w:val="0"/>
          <w:sz w:val="30"/>
          <w:szCs w:val="30"/>
          <w:bdr w:val="none" w:sz="0" w:space="0" w:color="auto" w:frame="1"/>
        </w:rPr>
        <w:t>  </w:t>
      </w:r>
      <w:r w:rsidRPr="00756C9E">
        <w:rPr>
          <w:rFonts w:ascii="黑体" w:eastAsia="黑体" w:hAnsi="黑体" w:cs="宋体" w:hint="eastAsia"/>
          <w:color w:val="333333"/>
          <w:kern w:val="0"/>
          <w:sz w:val="30"/>
          <w:szCs w:val="30"/>
          <w:bdr w:val="none" w:sz="0" w:space="0" w:color="auto" w:frame="1"/>
        </w:rPr>
        <w:t>考核与管理</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第十八条：</w:t>
      </w:r>
      <w:r w:rsidRPr="00756C9E">
        <w:rPr>
          <w:rFonts w:ascii="仿宋_GB2312" w:eastAsia="仿宋_GB2312" w:hAnsi="宋体" w:cs="宋体" w:hint="eastAsia"/>
          <w:color w:val="333333"/>
          <w:kern w:val="0"/>
          <w:sz w:val="28"/>
          <w:szCs w:val="28"/>
          <w:bdr w:val="none" w:sz="0" w:space="0" w:color="auto" w:frame="1"/>
        </w:rPr>
        <w:t>示范基地实行年报制度。每年10月30日前旗县区科技局将本地区示范基地年终工作总结等材料报送赤峰市科技局。</w:t>
      </w:r>
    </w:p>
    <w:p w:rsidR="00756C9E" w:rsidRPr="00756C9E" w:rsidRDefault="00756C9E" w:rsidP="00756C9E">
      <w:pPr>
        <w:widowControl/>
        <w:shd w:val="clear" w:color="auto" w:fill="F1F1F1"/>
        <w:spacing w:line="600"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第十九条：</w:t>
      </w:r>
      <w:r w:rsidRPr="00756C9E">
        <w:rPr>
          <w:rFonts w:ascii="仿宋_GB2312" w:eastAsia="仿宋_GB2312" w:hAnsi="宋体" w:cs="宋体" w:hint="eastAsia"/>
          <w:color w:val="333333"/>
          <w:kern w:val="0"/>
          <w:sz w:val="28"/>
          <w:szCs w:val="28"/>
          <w:bdr w:val="none" w:sz="0" w:space="0" w:color="auto" w:frame="1"/>
        </w:rPr>
        <w:t>示范基地实行动态管理，挂牌一年后组织验收。以后每两年考核一次。考核不合格的，取消其资格。</w:t>
      </w:r>
    </w:p>
    <w:p w:rsidR="00756C9E" w:rsidRPr="00756C9E" w:rsidRDefault="00756C9E" w:rsidP="00756C9E">
      <w:pPr>
        <w:widowControl/>
        <w:shd w:val="clear" w:color="auto" w:fill="F1F1F1"/>
        <w:spacing w:line="525" w:lineRule="atLeast"/>
        <w:ind w:firstLine="2850"/>
        <w:jc w:val="left"/>
        <w:rPr>
          <w:rFonts w:ascii="宋体" w:eastAsia="宋体" w:hAnsi="宋体" w:cs="宋体" w:hint="eastAsia"/>
          <w:color w:val="333333"/>
          <w:kern w:val="0"/>
          <w:sz w:val="21"/>
          <w:szCs w:val="21"/>
        </w:rPr>
      </w:pPr>
      <w:r w:rsidRPr="00756C9E">
        <w:rPr>
          <w:rFonts w:ascii="黑体" w:eastAsia="黑体" w:hAnsi="黑体" w:cs="宋体" w:hint="eastAsia"/>
          <w:color w:val="333333"/>
          <w:kern w:val="0"/>
          <w:sz w:val="30"/>
          <w:szCs w:val="30"/>
          <w:bdr w:val="none" w:sz="0" w:space="0" w:color="auto" w:frame="1"/>
        </w:rPr>
        <w:t>第六章</w:t>
      </w:r>
      <w:r w:rsidRPr="00756C9E">
        <w:rPr>
          <w:rFonts w:ascii="Calibri" w:eastAsia="黑体" w:hAnsi="Calibri" w:cs="Calibri"/>
          <w:color w:val="333333"/>
          <w:kern w:val="0"/>
          <w:sz w:val="30"/>
          <w:szCs w:val="30"/>
          <w:bdr w:val="none" w:sz="0" w:space="0" w:color="auto" w:frame="1"/>
        </w:rPr>
        <w:t>  </w:t>
      </w:r>
      <w:r w:rsidRPr="00756C9E">
        <w:rPr>
          <w:rFonts w:ascii="黑体" w:eastAsia="黑体" w:hAnsi="黑体" w:cs="宋体" w:hint="eastAsia"/>
          <w:color w:val="333333"/>
          <w:kern w:val="0"/>
          <w:sz w:val="30"/>
          <w:szCs w:val="30"/>
          <w:bdr w:val="none" w:sz="0" w:space="0" w:color="auto" w:frame="1"/>
        </w:rPr>
        <w:t>附则</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第二十条：</w:t>
      </w:r>
      <w:r w:rsidRPr="00756C9E">
        <w:rPr>
          <w:rFonts w:ascii="仿宋_GB2312" w:eastAsia="仿宋_GB2312" w:hAnsi="宋体" w:cs="宋体" w:hint="eastAsia"/>
          <w:color w:val="333333"/>
          <w:kern w:val="0"/>
          <w:sz w:val="28"/>
          <w:szCs w:val="28"/>
          <w:bdr w:val="none" w:sz="0" w:space="0" w:color="auto" w:frame="1"/>
        </w:rPr>
        <w:t>本办法由赤峰市科技局负责解释。</w:t>
      </w:r>
    </w:p>
    <w:p w:rsidR="00756C9E" w:rsidRPr="00756C9E" w:rsidRDefault="00756C9E" w:rsidP="00756C9E">
      <w:pPr>
        <w:widowControl/>
        <w:shd w:val="clear" w:color="auto" w:fill="F1F1F1"/>
        <w:spacing w:line="525" w:lineRule="atLeast"/>
        <w:ind w:firstLine="562"/>
        <w:jc w:val="left"/>
        <w:rPr>
          <w:rFonts w:ascii="宋体" w:eastAsia="宋体" w:hAnsi="宋体" w:cs="宋体" w:hint="eastAsia"/>
          <w:color w:val="333333"/>
          <w:kern w:val="0"/>
          <w:sz w:val="21"/>
          <w:szCs w:val="21"/>
        </w:rPr>
      </w:pPr>
      <w:r w:rsidRPr="00756C9E">
        <w:rPr>
          <w:rFonts w:ascii="仿宋_GB2312" w:eastAsia="仿宋_GB2312" w:hAnsi="宋体" w:cs="宋体" w:hint="eastAsia"/>
          <w:b/>
          <w:bCs/>
          <w:color w:val="333333"/>
          <w:kern w:val="0"/>
          <w:sz w:val="28"/>
          <w:szCs w:val="28"/>
          <w:bdr w:val="none" w:sz="0" w:space="0" w:color="auto" w:frame="1"/>
        </w:rPr>
        <w:t>第二十一条：</w:t>
      </w:r>
      <w:r w:rsidRPr="00756C9E">
        <w:rPr>
          <w:rFonts w:ascii="仿宋_GB2312" w:eastAsia="仿宋_GB2312" w:hAnsi="宋体" w:cs="宋体" w:hint="eastAsia"/>
          <w:color w:val="333333"/>
          <w:kern w:val="0"/>
          <w:sz w:val="28"/>
          <w:szCs w:val="28"/>
          <w:bdr w:val="none" w:sz="0" w:space="0" w:color="auto" w:frame="1"/>
        </w:rPr>
        <w:t>本办法自公布之日起实施。</w:t>
      </w:r>
    </w:p>
    <w:p w:rsidR="00650BB8" w:rsidRDefault="00756C9E">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EF"/>
    <w:rsid w:val="001F7137"/>
    <w:rsid w:val="00392DEA"/>
    <w:rsid w:val="004E35EF"/>
    <w:rsid w:val="00551BE2"/>
    <w:rsid w:val="00672B93"/>
    <w:rsid w:val="00756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343D3-110D-48F7-883E-00DF78A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2">
    <w:name w:val="heading 2"/>
    <w:basedOn w:val="a"/>
    <w:link w:val="2Char"/>
    <w:uiPriority w:val="9"/>
    <w:qFormat/>
    <w:rsid w:val="00756C9E"/>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2Char">
    <w:name w:val="标题 2 Char"/>
    <w:basedOn w:val="a0"/>
    <w:link w:val="2"/>
    <w:uiPriority w:val="9"/>
    <w:rsid w:val="00756C9E"/>
    <w:rPr>
      <w:rFonts w:ascii="宋体" w:eastAsia="宋体" w:hAnsi="宋体" w:cs="宋体"/>
      <w:b/>
      <w:bCs/>
      <w:kern w:val="0"/>
      <w:sz w:val="36"/>
      <w:szCs w:val="36"/>
    </w:rPr>
  </w:style>
  <w:style w:type="character" w:customStyle="1" w:styleId="apple-converted-space">
    <w:name w:val="apple-converted-space"/>
    <w:basedOn w:val="a0"/>
    <w:rsid w:val="0075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801959">
      <w:bodyDiv w:val="1"/>
      <w:marLeft w:val="0"/>
      <w:marRight w:val="0"/>
      <w:marTop w:val="0"/>
      <w:marBottom w:val="0"/>
      <w:divBdr>
        <w:top w:val="none" w:sz="0" w:space="0" w:color="auto"/>
        <w:left w:val="none" w:sz="0" w:space="0" w:color="auto"/>
        <w:bottom w:val="none" w:sz="0" w:space="0" w:color="auto"/>
        <w:right w:val="none" w:sz="0" w:space="0" w:color="auto"/>
      </w:divBdr>
      <w:divsChild>
        <w:div w:id="1546940516">
          <w:marLeft w:val="0"/>
          <w:marRight w:val="0"/>
          <w:marTop w:val="0"/>
          <w:marBottom w:val="0"/>
          <w:divBdr>
            <w:top w:val="none" w:sz="0" w:space="0" w:color="auto"/>
            <w:left w:val="none" w:sz="0" w:space="0" w:color="auto"/>
            <w:bottom w:val="none" w:sz="0" w:space="0" w:color="auto"/>
            <w:right w:val="none" w:sz="0" w:space="0" w:color="auto"/>
          </w:divBdr>
          <w:divsChild>
            <w:div w:id="724832897">
              <w:marLeft w:val="0"/>
              <w:marRight w:val="0"/>
              <w:marTop w:val="0"/>
              <w:marBottom w:val="0"/>
              <w:divBdr>
                <w:top w:val="none" w:sz="0" w:space="0" w:color="auto"/>
                <w:left w:val="none" w:sz="0" w:space="0" w:color="auto"/>
                <w:bottom w:val="none" w:sz="0" w:space="0" w:color="auto"/>
                <w:right w:val="none" w:sz="0" w:space="0" w:color="auto"/>
              </w:divBdr>
            </w:div>
          </w:divsChild>
        </w:div>
        <w:div w:id="138302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2018-05-28T03:32:00Z</dcterms:created>
  <dcterms:modified xsi:type="dcterms:W3CDTF">2018-05-28T03:32:00Z</dcterms:modified>
</cp:coreProperties>
</file>