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7AB" w:rsidRPr="004137AB" w:rsidRDefault="004137AB" w:rsidP="004137AB">
      <w:pPr>
        <w:widowControl/>
        <w:spacing w:line="600" w:lineRule="atLeast"/>
        <w:jc w:val="center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宋体" w:eastAsia="宋体" w:hAnsi="宋体" w:cs="宋体" w:hint="eastAsia"/>
          <w:b/>
          <w:bCs/>
          <w:color w:val="000000"/>
          <w:spacing w:val="-10"/>
          <w:kern w:val="0"/>
          <w:sz w:val="44"/>
          <w:szCs w:val="44"/>
        </w:rPr>
        <w:t>昆山市扶持现代物流企业发展实施细则</w:t>
      </w:r>
    </w:p>
    <w:p w:rsidR="004137AB" w:rsidRPr="004137AB" w:rsidRDefault="004137AB" w:rsidP="004137AB">
      <w:pPr>
        <w:widowControl/>
        <w:spacing w:line="600" w:lineRule="atLeast"/>
        <w:ind w:firstLine="63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为贯彻落实市委、市政府《关于推进转型升级创新发展财政扶持若干政策》（昆委〔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2015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〕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28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号），进一步优化物流业发展环境，促进现代物流企业快速发展，特制</w:t>
      </w:r>
      <w:bookmarkStart w:id="0" w:name="_GoBack"/>
      <w:bookmarkEnd w:id="0"/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定本细则。</w:t>
      </w:r>
    </w:p>
    <w:p w:rsidR="004137AB" w:rsidRPr="004137AB" w:rsidRDefault="004137AB" w:rsidP="004137AB">
      <w:pPr>
        <w:widowControl/>
        <w:spacing w:line="600" w:lineRule="atLeast"/>
        <w:ind w:firstLine="63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一、鼓励对象</w:t>
      </w:r>
    </w:p>
    <w:p w:rsidR="004137AB" w:rsidRPr="004137AB" w:rsidRDefault="004137AB" w:rsidP="004137AB">
      <w:pPr>
        <w:widowControl/>
        <w:spacing w:line="600" w:lineRule="atLeast"/>
        <w:ind w:firstLine="627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在昆山注册设立并依法经营，从事交通运输、供应链管理、综合物流服务等业务的物流企业。</w:t>
      </w:r>
    </w:p>
    <w:p w:rsidR="004137AB" w:rsidRPr="004137AB" w:rsidRDefault="004137AB" w:rsidP="004137AB">
      <w:pPr>
        <w:widowControl/>
        <w:spacing w:line="600" w:lineRule="atLeast"/>
        <w:ind w:firstLine="63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二、鼓励政策</w:t>
      </w:r>
    </w:p>
    <w:p w:rsidR="004137AB" w:rsidRPr="004137AB" w:rsidRDefault="004137AB" w:rsidP="004137AB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．鼓励物流企业加快发展。引导促进物流企业积极拓展市场，加快发展壮大，对发展情况良好，经营规模和经济效益有较大增长的企业，纳入政策支持范围，经评审后，给予一定奖励。</w:t>
      </w:r>
    </w:p>
    <w:p w:rsidR="004137AB" w:rsidRPr="004137AB" w:rsidRDefault="004137AB" w:rsidP="004137AB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．鼓励物流企业做大做强。对企业当年度营业收入首超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3000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万元的，奖励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10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万元；首超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5000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万元的，奖励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万元；首超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亿元的，奖励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40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万元；首超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亿元的，奖励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80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万元；首超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亿元的，奖励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120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万元；首超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5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亿元的，奖励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200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万元。</w:t>
      </w:r>
    </w:p>
    <w:p w:rsidR="004137AB" w:rsidRPr="004137AB" w:rsidRDefault="004137AB" w:rsidP="004137AB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以上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、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项政策不同时享受。</w:t>
      </w:r>
    </w:p>
    <w:p w:rsidR="004137AB" w:rsidRPr="004137AB" w:rsidRDefault="004137AB" w:rsidP="004137AB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．鼓励物流企业创建品牌。按照国家《物流企业分类与评估指标》标准，对当年评为国家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AAA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、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AAAA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和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AAAAA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的物流企业分别给予一次性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万元、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30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万元和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50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lastRenderedPageBreak/>
        <w:t>万元奖励。对已获奖励的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A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级企业取得更高级别认证的，采取补差奖励。</w:t>
      </w:r>
    </w:p>
    <w:p w:rsidR="004137AB" w:rsidRPr="004137AB" w:rsidRDefault="004137AB" w:rsidP="004137AB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4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．鼓励物流企业提高营运能力。对物流企业新增专业化运输车辆（厢式车、集装箱车、冷藏车、罐式车、牵引车等）的，按车辆购置费用的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5%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进行补助。</w:t>
      </w:r>
    </w:p>
    <w:p w:rsidR="004137AB" w:rsidRPr="004137AB" w:rsidRDefault="004137AB" w:rsidP="004137AB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对符合条件的企业，经评审后，单个企业年度奖励最高不超过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200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万元。</w:t>
      </w:r>
    </w:p>
    <w:p w:rsidR="004137AB" w:rsidRPr="004137AB" w:rsidRDefault="004137AB" w:rsidP="004137AB">
      <w:pPr>
        <w:widowControl/>
        <w:spacing w:line="600" w:lineRule="atLeast"/>
        <w:ind w:firstLine="63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三、申报材料</w:t>
      </w:r>
    </w:p>
    <w:p w:rsidR="004137AB" w:rsidRPr="004137AB" w:rsidRDefault="004137AB" w:rsidP="004137AB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</w:t>
      </w:r>
      <w:r w:rsidRPr="004137AB">
        <w:rPr>
          <w:rFonts w:ascii="仿宋_GB2312" w:eastAsia="仿宋_GB2312" w:hAnsi="Simsun" w:cs="宋体" w:hint="eastAsia"/>
          <w:color w:val="000000"/>
          <w:spacing w:val="-6"/>
          <w:kern w:val="0"/>
          <w:sz w:val="32"/>
          <w:szCs w:val="32"/>
        </w:rPr>
        <w:t>昆山市鼓励现代物流企业发展专项资金申请表；</w:t>
      </w:r>
    </w:p>
    <w:p w:rsidR="004137AB" w:rsidRPr="004137AB" w:rsidRDefault="004137AB" w:rsidP="004137AB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．企业营业执照（副本）及运输行业经营许可证复印件；</w:t>
      </w:r>
    </w:p>
    <w:p w:rsidR="004137AB" w:rsidRPr="004137AB" w:rsidRDefault="004137AB" w:rsidP="004137AB">
      <w:pPr>
        <w:widowControl/>
        <w:spacing w:line="600" w:lineRule="atLeast"/>
        <w:ind w:firstLine="643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．企业连续两个年度缴纳营业税、所得税、增值税等完税凭证复印件和缴税汇总表；</w:t>
      </w:r>
    </w:p>
    <w:p w:rsidR="004137AB" w:rsidRPr="004137AB" w:rsidRDefault="004137AB" w:rsidP="004137AB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4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．上年度企业审计报告和统计局联网直报平台服务业财务状况表；</w:t>
      </w:r>
    </w:p>
    <w:p w:rsidR="004137AB" w:rsidRPr="004137AB" w:rsidRDefault="004137AB" w:rsidP="004137AB">
      <w:pPr>
        <w:widowControl/>
        <w:spacing w:line="600" w:lineRule="atLeast"/>
        <w:ind w:firstLine="643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5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．申报创建品牌的，提供获得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A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级认定的文件和证书；</w:t>
      </w:r>
    </w:p>
    <w:p w:rsidR="004137AB" w:rsidRPr="004137AB" w:rsidRDefault="004137AB" w:rsidP="004137AB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6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．申报鼓励物流企业提高营运能力的，提供车辆行驶证、道路运输证复印件、车辆购置发票复印件。</w:t>
      </w:r>
    </w:p>
    <w:p w:rsidR="004137AB" w:rsidRPr="004137AB" w:rsidRDefault="004137AB" w:rsidP="004137AB">
      <w:pPr>
        <w:widowControl/>
        <w:spacing w:line="600" w:lineRule="atLeast"/>
        <w:ind w:firstLine="63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四、申报和审核程序</w:t>
      </w:r>
    </w:p>
    <w:p w:rsidR="004137AB" w:rsidRPr="004137AB" w:rsidRDefault="004137AB" w:rsidP="004137AB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lastRenderedPageBreak/>
        <w:t>1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．符合专项资金申报条件的企业，根据专项资金项目申报通知要求，组织所需的申报材料，经各区镇审核推荐，报送到市发改委。</w:t>
      </w:r>
    </w:p>
    <w:p w:rsidR="004137AB" w:rsidRPr="004137AB" w:rsidRDefault="004137AB" w:rsidP="004137AB">
      <w:pPr>
        <w:widowControl/>
        <w:spacing w:after="120"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  <w:t>2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6"/>
          <w:szCs w:val="36"/>
        </w:rPr>
        <w:t>．市发改委对申请材料进行书面审核，确定资助项目和拟扶持企业名单。市发改委组织经信委、财政局、交通运输局等部门有关负责人及专家设立联合评审组，对拟扶持企业名单进行会审。根据审核意见，将评审合格项目纳入专项资金项目库。</w:t>
      </w:r>
    </w:p>
    <w:p w:rsidR="004137AB" w:rsidRPr="004137AB" w:rsidRDefault="004137AB" w:rsidP="004137AB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．市发改委对列入专项资金项目库的项目，提出资金安排初步意见，并送财政局复核。市财政局复核并提出意见后，由市发改委报市政府审批。</w:t>
      </w:r>
    </w:p>
    <w:p w:rsidR="004137AB" w:rsidRPr="004137AB" w:rsidRDefault="004137AB" w:rsidP="004137AB">
      <w:pPr>
        <w:widowControl/>
        <w:spacing w:line="600" w:lineRule="atLeast"/>
        <w:ind w:firstLine="645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4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．市政府审批后，由市发改委通过政府网站向社会公示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7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个工作日。公示后，按有关规定和要求下达资金计划。</w:t>
      </w:r>
    </w:p>
    <w:p w:rsidR="004137AB" w:rsidRPr="004137AB" w:rsidRDefault="004137AB" w:rsidP="004137AB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五、其它事项</w:t>
      </w:r>
    </w:p>
    <w:p w:rsidR="004137AB" w:rsidRPr="004137AB" w:rsidRDefault="004137AB" w:rsidP="004137AB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．申报单位应提供真实完整材料。申报单位无法提供真实完整财务数据或项目有侵犯知识产权行为，取消资助资格。</w:t>
      </w:r>
    </w:p>
    <w:p w:rsidR="004137AB" w:rsidRPr="004137AB" w:rsidRDefault="004137AB" w:rsidP="004137AB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．对弄虚作假骗取专项资金或有其他违反规定的，收回资助资金，同时，视情节轻重在一定时期内取消该企业申报专项资金资格。</w:t>
      </w:r>
    </w:p>
    <w:p w:rsidR="004137AB" w:rsidRPr="004137AB" w:rsidRDefault="004137AB" w:rsidP="004137AB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lastRenderedPageBreak/>
        <w:t>3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．各区镇应认真审核项目申报材料，积极做好辖区内企业申报、资金使用等工作。对因把关不严造成资金使用不符合政策规定的，由该区镇负责追回，无法追回的由市财政直接从该区镇财政中扣除。</w:t>
      </w:r>
    </w:p>
    <w:p w:rsidR="004137AB" w:rsidRPr="004137AB" w:rsidRDefault="004137AB" w:rsidP="004137AB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4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．本细则自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2015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年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月</w:t>
      </w:r>
      <w:r w:rsidRPr="004137AB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4137A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日起施行。本细则由市发改委负责解释。</w:t>
      </w:r>
    </w:p>
    <w:p w:rsidR="00714CBE" w:rsidRDefault="00714CBE"/>
    <w:sectPr w:rsidR="00714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23"/>
    <w:rsid w:val="004137AB"/>
    <w:rsid w:val="00714CBE"/>
    <w:rsid w:val="00B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32E8C-B15B-4E72-8826-129150B7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link w:val="Char"/>
    <w:uiPriority w:val="99"/>
    <w:semiHidden/>
    <w:unhideWhenUsed/>
    <w:rsid w:val="004137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rsid w:val="004137AB"/>
    <w:rPr>
      <w:rFonts w:ascii="宋体" w:eastAsia="宋体" w:hAnsi="宋体" w:cs="宋体"/>
      <w:kern w:val="0"/>
      <w:sz w:val="24"/>
      <w:szCs w:val="24"/>
    </w:rPr>
  </w:style>
  <w:style w:type="paragraph" w:styleId="a4">
    <w:name w:val="Body Text"/>
    <w:basedOn w:val="a"/>
    <w:link w:val="Char0"/>
    <w:uiPriority w:val="99"/>
    <w:semiHidden/>
    <w:unhideWhenUsed/>
    <w:rsid w:val="004137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正文文本 Char"/>
    <w:basedOn w:val="a0"/>
    <w:link w:val="a4"/>
    <w:uiPriority w:val="99"/>
    <w:semiHidden/>
    <w:rsid w:val="004137AB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2018-08-20T08:52:00Z</dcterms:created>
  <dcterms:modified xsi:type="dcterms:W3CDTF">2018-08-20T08:52:00Z</dcterms:modified>
</cp:coreProperties>
</file>